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pPr>
      <w:r>
        <w:rPr>
          <w:rFonts w:ascii="Carlito" w:hAnsi="Carlito" w:eastAsia="Carlito"/>
          <w:b/>
          <w:color w:val="2E8B8B"/>
          <w:sz w:val="26"/>
        </w:rPr>
        <w:t>PROJET ATLAS</w:t>
      </w:r>
    </w:p>
    <w:p>
      <w:pPr>
        <w:spacing w:after="60"/>
      </w:pPr>
      <w:r>
        <w:rPr>
          <w:rFonts w:ascii="Carlito" w:hAnsi="Carlito" w:eastAsia="Carlito"/>
          <w:b/>
          <w:color w:val="17365D"/>
          <w:sz w:val="60"/>
        </w:rPr>
        <w:t>Charte de projet</w:t>
      </w:r>
    </w:p>
    <w:p>
      <w:pPr>
        <w:spacing w:after="440"/>
      </w:pPr>
      <w:r>
        <w:rPr>
          <w:rFonts w:ascii="Carlito" w:hAnsi="Carlito" w:eastAsia="Carlito"/>
          <w:color w:val="2F75B5"/>
          <w:sz w:val="30"/>
        </w:rPr>
        <w:t>Programme d’adoption de l’IA générative avec Microsoft 365 Copilot</w:t>
      </w:r>
    </w:p>
    <w:p>
      <w:pPr>
        <w:pBdr>
          <w:bottom w:val="single" w:sz="16" w:space="1" w:color="2E8B8B"/>
        </w:pBdr>
      </w:pPr>
    </w:p>
    <w:tbl>
      <w:tblPr>
        <w:tblW w:type="auto" w:w="0"/>
        <w:jc w:val="left"/>
        <w:tblLayout w:type="fixed"/>
        <w:tblLook w:firstColumn="1" w:firstRow="1" w:lastColumn="0" w:lastRow="0" w:noHBand="0" w:noVBand="1" w:val="04A0"/>
      </w:tblPr>
      <w:tblGrid>
        <w:gridCol w:w="2592"/>
        <w:gridCol w:w="6984"/>
      </w:tblGrid>
      <w:tr>
        <w:trPr>
          <w:trHeight w:hRule="atLeast"/>
        </w:trPr>
        <w:tc>
          <w:tcPr>
            <w:tcW w:type="dxa" w:w="5083"/>
            <w:shd w:fill="F2F4F7"/>
            <w:tcMar>
              <w:top w:w="90" w:type="dxa"/>
              <w:start w:w="90" w:type="dxa"/>
              <w:bottom w:w="90" w:type="dxa"/>
              <w:end w:w="90" w:type="dxa"/>
            </w:tcMar>
            <w:tcBorders>
              <w:bottom w:sz="3" w:val="single" w:color="D9DEE5"/>
            </w:tcBorders>
            <w:vAlign w:val="center"/>
          </w:tcPr>
          <w:p>
            <w:pPr>
              <w:keepLines/>
            </w:pPr>
            <w:r>
              <w:rPr>
                <w:rFonts w:ascii="Carlito" w:hAnsi="Carlito" w:eastAsia="Carlito"/>
                <w:b/>
                <w:color w:val="40464D"/>
                <w:sz w:val="18"/>
              </w:rPr>
              <w:t>Version</w:t>
            </w:r>
          </w:p>
        </w:tc>
        <w:tc>
          <w:tcPr>
            <w:tcW w:type="dxa" w:w="5083"/>
            <w:tcMar>
              <w:top w:w="90" w:type="dxa"/>
              <w:start w:w="90" w:type="dxa"/>
              <w:bottom w:w="90" w:type="dxa"/>
              <w:end w:w="90" w:type="dxa"/>
            </w:tcMar>
            <w:tcBorders>
              <w:bottom w:sz="3" w:val="single" w:color="D9DEE5"/>
            </w:tcBorders>
            <w:vAlign w:val="center"/>
          </w:tcPr>
          <w:p>
            <w:pPr>
              <w:keepLines/>
            </w:pPr>
            <w:r>
              <w:rPr>
                <w:rFonts w:ascii="Carlito" w:hAnsi="Carlito" w:eastAsia="Carlito"/>
                <w:color w:val="17365D"/>
                <w:sz w:val="19"/>
              </w:rPr>
              <w:t>1.0</w:t>
            </w:r>
          </w:p>
        </w:tc>
      </w:tr>
      <w:tr>
        <w:trPr>
          <w:trHeight w:hRule="atLeast"/>
        </w:trPr>
        <w:tc>
          <w:tcPr>
            <w:tcW w:type="dxa" w:w="5083"/>
            <w:shd w:fill="F2F4F7"/>
            <w:tcMar>
              <w:top w:w="90" w:type="dxa"/>
              <w:start w:w="90" w:type="dxa"/>
              <w:bottom w:w="90" w:type="dxa"/>
              <w:end w:w="90" w:type="dxa"/>
            </w:tcMar>
            <w:tcBorders>
              <w:bottom w:sz="3" w:val="single" w:color="D9DEE5"/>
            </w:tcBorders>
            <w:vAlign w:val="center"/>
          </w:tcPr>
          <w:p>
            <w:pPr>
              <w:keepLines/>
            </w:pPr>
            <w:r>
              <w:rPr>
                <w:rFonts w:ascii="Carlito" w:hAnsi="Carlito" w:eastAsia="Carlito"/>
                <w:b/>
                <w:color w:val="40464D"/>
                <w:sz w:val="18"/>
              </w:rPr>
              <w:t>Date</w:t>
            </w:r>
          </w:p>
        </w:tc>
        <w:tc>
          <w:tcPr>
            <w:tcW w:type="dxa" w:w="5083"/>
            <w:tcMar>
              <w:top w:w="90" w:type="dxa"/>
              <w:start w:w="90" w:type="dxa"/>
              <w:bottom w:w="90" w:type="dxa"/>
              <w:end w:w="90" w:type="dxa"/>
            </w:tcMar>
            <w:tcBorders>
              <w:bottom w:sz="3" w:val="single" w:color="D9DEE5"/>
            </w:tcBorders>
            <w:vAlign w:val="center"/>
          </w:tcPr>
          <w:p>
            <w:pPr>
              <w:keepLines/>
            </w:pPr>
            <w:r>
              <w:rPr>
                <w:rFonts w:ascii="Carlito" w:hAnsi="Carlito" w:eastAsia="Carlito"/>
                <w:color w:val="17365D"/>
                <w:sz w:val="19"/>
              </w:rPr>
              <w:t>7 juillet 2026</w:t>
            </w:r>
          </w:p>
        </w:tc>
      </w:tr>
      <w:tr>
        <w:trPr>
          <w:trHeight w:hRule="atLeast"/>
        </w:trPr>
        <w:tc>
          <w:tcPr>
            <w:tcW w:type="dxa" w:w="5083"/>
            <w:shd w:fill="F2F4F7"/>
            <w:tcMar>
              <w:top w:w="90" w:type="dxa"/>
              <w:start w:w="90" w:type="dxa"/>
              <w:bottom w:w="90" w:type="dxa"/>
              <w:end w:w="90" w:type="dxa"/>
            </w:tcMar>
            <w:tcBorders>
              <w:bottom w:sz="3" w:val="single" w:color="D9DEE5"/>
            </w:tcBorders>
            <w:vAlign w:val="center"/>
          </w:tcPr>
          <w:p>
            <w:pPr>
              <w:keepLines/>
            </w:pPr>
            <w:r>
              <w:rPr>
                <w:rFonts w:ascii="Carlito" w:hAnsi="Carlito" w:eastAsia="Carlito"/>
                <w:b/>
                <w:color w:val="40464D"/>
                <w:sz w:val="18"/>
              </w:rPr>
              <w:t>Statut</w:t>
            </w:r>
          </w:p>
        </w:tc>
        <w:tc>
          <w:tcPr>
            <w:tcW w:type="dxa" w:w="5083"/>
            <w:tcMar>
              <w:top w:w="90" w:type="dxa"/>
              <w:start w:w="90" w:type="dxa"/>
              <w:bottom w:w="90" w:type="dxa"/>
              <w:end w:w="90" w:type="dxa"/>
            </w:tcMar>
            <w:tcBorders>
              <w:bottom w:sz="3" w:val="single" w:color="D9DEE5"/>
            </w:tcBorders>
            <w:vAlign w:val="center"/>
          </w:tcPr>
          <w:p>
            <w:pPr>
              <w:keepLines/>
            </w:pPr>
            <w:r>
              <w:rPr>
                <w:rFonts w:ascii="Carlito" w:hAnsi="Carlito" w:eastAsia="Carlito"/>
                <w:color w:val="17365D"/>
                <w:sz w:val="19"/>
              </w:rPr>
              <w:t>Approuvée pour cadrage initial</w:t>
            </w:r>
          </w:p>
        </w:tc>
      </w:tr>
      <w:tr>
        <w:trPr>
          <w:trHeight w:hRule="atLeast"/>
        </w:trPr>
        <w:tc>
          <w:tcPr>
            <w:tcW w:type="dxa" w:w="5083"/>
            <w:shd w:fill="F2F4F7"/>
            <w:tcMar>
              <w:top w:w="90" w:type="dxa"/>
              <w:start w:w="90" w:type="dxa"/>
              <w:bottom w:w="90" w:type="dxa"/>
              <w:end w:w="90" w:type="dxa"/>
            </w:tcMar>
            <w:tcBorders>
              <w:bottom w:sz="3" w:val="single" w:color="D9DEE5"/>
            </w:tcBorders>
            <w:vAlign w:val="center"/>
          </w:tcPr>
          <w:p>
            <w:pPr>
              <w:keepLines/>
            </w:pPr>
            <w:r>
              <w:rPr>
                <w:rFonts w:ascii="Carlito" w:hAnsi="Carlito" w:eastAsia="Carlito"/>
                <w:b/>
                <w:color w:val="40464D"/>
                <w:sz w:val="18"/>
              </w:rPr>
              <w:t>Sponsor</w:t>
            </w:r>
          </w:p>
        </w:tc>
        <w:tc>
          <w:tcPr>
            <w:tcW w:type="dxa" w:w="5083"/>
            <w:tcMar>
              <w:top w:w="90" w:type="dxa"/>
              <w:start w:w="90" w:type="dxa"/>
              <w:bottom w:w="90" w:type="dxa"/>
              <w:end w:w="90" w:type="dxa"/>
            </w:tcMar>
            <w:tcBorders>
              <w:bottom w:sz="3" w:val="single" w:color="D9DEE5"/>
            </w:tcBorders>
            <w:vAlign w:val="center"/>
          </w:tcPr>
          <w:p>
            <w:pPr>
              <w:keepLines/>
            </w:pPr>
            <w:r>
              <w:rPr>
                <w:rFonts w:ascii="Carlito" w:hAnsi="Carlito" w:eastAsia="Carlito"/>
                <w:color w:val="17365D"/>
                <w:sz w:val="19"/>
              </w:rPr>
              <w:t>Direction des Opérations</w:t>
            </w:r>
          </w:p>
        </w:tc>
      </w:tr>
      <w:tr>
        <w:trPr>
          <w:trHeight w:hRule="atLeast"/>
        </w:trPr>
        <w:tc>
          <w:tcPr>
            <w:tcW w:type="dxa" w:w="5083"/>
            <w:shd w:fill="F2F4F7"/>
            <w:tcMar>
              <w:top w:w="90" w:type="dxa"/>
              <w:start w:w="90" w:type="dxa"/>
              <w:bottom w:w="90" w:type="dxa"/>
              <w:end w:w="90" w:type="dxa"/>
            </w:tcMar>
            <w:tcBorders>
              <w:bottom w:sz="3" w:val="single" w:color="D9DEE5"/>
            </w:tcBorders>
            <w:vAlign w:val="center"/>
          </w:tcPr>
          <w:p>
            <w:pPr>
              <w:keepLines/>
            </w:pPr>
            <w:r>
              <w:rPr>
                <w:rFonts w:ascii="Carlito" w:hAnsi="Carlito" w:eastAsia="Carlito"/>
                <w:b/>
                <w:color w:val="40464D"/>
                <w:sz w:val="18"/>
              </w:rPr>
              <w:t>Responsable de programme</w:t>
            </w:r>
          </w:p>
        </w:tc>
        <w:tc>
          <w:tcPr>
            <w:tcW w:type="dxa" w:w="5083"/>
            <w:tcMar>
              <w:top w:w="90" w:type="dxa"/>
              <w:start w:w="90" w:type="dxa"/>
              <w:bottom w:w="90" w:type="dxa"/>
              <w:end w:w="90" w:type="dxa"/>
            </w:tcMar>
            <w:tcBorders>
              <w:bottom w:sz="3" w:val="single" w:color="D9DEE5"/>
            </w:tcBorders>
            <w:vAlign w:val="center"/>
          </w:tcPr>
          <w:p>
            <w:pPr>
              <w:keepLines/>
            </w:pPr>
            <w:r>
              <w:rPr>
                <w:rFonts w:ascii="Carlito" w:hAnsi="Carlito" w:eastAsia="Carlito"/>
                <w:color w:val="17365D"/>
                <w:sz w:val="19"/>
              </w:rPr>
              <w:t>Programme Atlas — Transformation numérique</w:t>
            </w:r>
          </w:p>
        </w:tc>
      </w:tr>
      <w:tr>
        <w:trPr>
          <w:trHeight w:hRule="atLeast"/>
        </w:trPr>
        <w:tc>
          <w:tcPr>
            <w:tcW w:type="dxa" w:w="5083"/>
            <w:shd w:fill="F2F4F7"/>
            <w:tcMar>
              <w:top w:w="90" w:type="dxa"/>
              <w:start w:w="90" w:type="dxa"/>
              <w:bottom w:w="90" w:type="dxa"/>
              <w:end w:w="90" w:type="dxa"/>
            </w:tcMar>
            <w:tcBorders>
              <w:bottom w:sz="3" w:val="single" w:color="D9DEE5"/>
            </w:tcBorders>
            <w:vAlign w:val="center"/>
          </w:tcPr>
          <w:p>
            <w:pPr>
              <w:keepLines/>
            </w:pPr>
            <w:r>
              <w:rPr>
                <w:rFonts w:ascii="Carlito" w:hAnsi="Carlito" w:eastAsia="Carlito"/>
                <w:b/>
                <w:color w:val="40464D"/>
                <w:sz w:val="18"/>
              </w:rPr>
              <w:t>Classification</w:t>
            </w:r>
          </w:p>
        </w:tc>
        <w:tc>
          <w:tcPr>
            <w:tcW w:type="dxa" w:w="5083"/>
            <w:tcMar>
              <w:top w:w="90" w:type="dxa"/>
              <w:start w:w="90" w:type="dxa"/>
              <w:bottom w:w="90" w:type="dxa"/>
              <w:end w:w="90" w:type="dxa"/>
            </w:tcMar>
            <w:tcBorders>
              <w:bottom w:sz="3" w:val="single" w:color="D9DEE5"/>
            </w:tcBorders>
            <w:vAlign w:val="center"/>
          </w:tcPr>
          <w:p>
            <w:pPr>
              <w:keepLines/>
            </w:pPr>
            <w:r>
              <w:rPr>
                <w:rFonts w:ascii="Carlito" w:hAnsi="Carlito" w:eastAsia="Carlito"/>
                <w:color w:val="17365D"/>
                <w:sz w:val="19"/>
              </w:rPr>
              <w:t>Interne — Contoso</w:t>
            </w:r>
          </w:p>
        </w:tc>
      </w:tr>
    </w:tbl>
    <w:p>
      <w:pPr>
        <w:spacing w:before="760"/>
      </w:pPr>
      <w:r>
        <w:rPr>
          <w:rFonts w:ascii="Carlito" w:hAnsi="Carlito" w:eastAsia="Carlito"/>
          <w:b/>
          <w:color w:val="2F75B5"/>
          <w:sz w:val="20"/>
        </w:rPr>
        <w:t>Objet du document</w:t>
      </w:r>
    </w:p>
    <w:p>
      <w:pPr>
        <w:spacing w:after="0"/>
      </w:pPr>
      <w:r>
        <w:rPr>
          <w:rFonts w:ascii="Carlito" w:hAnsi="Carlito" w:eastAsia="Carlito"/>
          <w:color w:val="40464D"/>
          <w:sz w:val="20"/>
        </w:rPr>
        <w:t>Établir le cadrage initial, les objectifs, les responsabilités, les jalons et les paramètres de référence du Projet Atlas. Cette charte constitue une base de gouvernance; certains éléments opérationnels demeurent volontairement à confirmer pendant la préparation du lancement.</w:t>
      </w:r>
    </w:p>
    <w:p>
      <w:r>
        <w:br w:type="page"/>
      </w:r>
    </w:p>
    <w:p>
      <w:pPr>
        <w:pStyle w:val="Heading1"/>
        <w:keepNext/>
      </w:pPr>
      <w:r>
        <w:t>1. Sommaire exécutif</w:t>
      </w:r>
    </w:p>
    <w:p>
      <w:pPr>
        <w:spacing w:after="120" w:line="259" w:lineRule="auto"/>
      </w:pPr>
      <w:r>
        <w:t>Le Projet Atlas vise à accompagner l’adoption structurée de l’IA générative au sein de Contoso, en s’appuyant sur Microsoft 365 Copilot comme environnement de travail principal. Le programme est conçu comme une initiative de transformation des pratiques, et non comme un simple déploiement technologique.</w:t>
      </w:r>
    </w:p>
    <w:p>
      <w:pPr>
        <w:spacing w:after="120" w:line="259" w:lineRule="auto"/>
      </w:pPr>
      <w:r>
        <w:t>La population cible initiale est fixée à 500 employés. La date cible de lancement organisationnel est le 15 octobre 2026. Une enveloppe budgétaire initiale de 120 000 $ CAD est réservée aux activités de préparation, d’adoption, de formation, de soutien et de communication. Les coûts de licences Microsoft 365 Copilot doivent faire l’objet d’une validation financière distincte avant engagement.</w:t>
      </w:r>
    </w:p>
    <w:p>
      <w:pPr>
        <w:spacing w:after="120" w:line="259" w:lineRule="auto"/>
      </w:pPr>
      <w:r>
        <w:t>Le succès du programme sera notamment mesuré par l’atteinte d’un taux d’utilisation active de 70 % des utilisateurs ciblés dans les trois mois suivant le lancement, ainsi que par la capacité de l’organisation à encadrer les usages, accompagner les équipes et documenter les apprentissages du programme.</w:t>
      </w:r>
    </w:p>
    <w:tbl>
      <w:tblPr>
        <w:tblW w:type="auto" w:w="0"/>
        <w:jc w:val="center"/>
        <w:tblLayout w:type="autofit"/>
        <w:tblLook w:firstColumn="1" w:firstRow="1" w:lastColumn="0" w:lastRow="0" w:noHBand="0" w:noVBand="1" w:val="04A0"/>
      </w:tblPr>
      <w:tblGrid>
        <w:gridCol w:w="10166"/>
      </w:tblGrid>
      <w:tr>
        <w:trPr>
          <w:trHeight w:hRule="atLeast"/>
        </w:trPr>
        <w:tc>
          <w:tcPr>
            <w:tcW w:type="dxa" w:w="10166"/>
            <w:shd w:fill="D9EAF7"/>
            <w:tcBorders>
              <w:top w:sz="2" w:val="single" w:color="D9EAF7"/>
              <w:left w:sz="18" w:val="single" w:color="2F75B5"/>
              <w:bottom w:sz="2" w:val="single" w:color="D9EAF7"/>
              <w:right w:sz="2" w:val="single" w:color="D9EAF7"/>
            </w:tcBorders>
            <w:tcMar>
              <w:top w:w="120" w:type="dxa"/>
              <w:start w:w="140" w:type="dxa"/>
              <w:bottom w:w="120" w:type="dxa"/>
              <w:end w:w="140" w:type="dxa"/>
            </w:tcMar>
            <w:vAlign w:val="center"/>
          </w:tcPr>
          <w:p>
            <w:pPr>
              <w:keepLines/>
              <w:spacing w:after="60"/>
            </w:pPr>
            <w:r>
              <w:rPr>
                <w:rFonts w:ascii="Carlito" w:hAnsi="Carlito" w:eastAsia="Carlito"/>
                <w:b/>
                <w:color w:val="17365D"/>
                <w:sz w:val="21"/>
              </w:rPr>
              <w:t>PARAMÈTRES DE RÉFÉRENCE — VERSION 1.0</w:t>
            </w:r>
          </w:p>
          <w:p>
            <w:pPr>
              <w:keepLines/>
              <w:spacing w:after="0"/>
            </w:pPr>
            <w:r>
              <w:rPr>
                <w:rFonts w:ascii="Carlito" w:hAnsi="Carlito" w:eastAsia="Carlito"/>
                <w:sz w:val="20"/>
              </w:rPr>
              <w:t>Population cible : 500 employés  |  Lancement cible : 15 octobre 2026  |  Enveloppe initiale : 120 000 $ CAD  |  Sponsor : Direction des Opérations  |  Adoption visée à 3 mois : 70 %</w:t>
            </w:r>
          </w:p>
        </w:tc>
      </w:tr>
    </w:tbl>
    <w:p>
      <w:pPr>
        <w:spacing w:after="20"/>
      </w:pPr>
    </w:p>
    <w:p>
      <w:pPr>
        <w:pStyle w:val="Heading1"/>
        <w:keepNext/>
      </w:pPr>
      <w:r>
        <w:t>2. Contexte et justification</w:t>
      </w:r>
    </w:p>
    <w:p>
      <w:pPr>
        <w:spacing w:after="120" w:line="259" w:lineRule="auto"/>
      </w:pPr>
      <w:r>
        <w:t>Contoso souhaite accélérer l’intégration de l’IA générative dans les activités quotidiennes tout en conservant un cadre cohérent de sécurité, de responsabilité et d’accompagnement au changement. Plusieurs équipes expérimentent déjà des usages de l’IA, mais les pratiques sont hétérogènes et le niveau de maturité varie fortement selon les fonctions.</w:t>
      </w:r>
    </w:p>
    <w:p>
      <w:pPr>
        <w:spacing w:after="120" w:line="259" w:lineRule="auto"/>
      </w:pPr>
      <w:r>
        <w:t>Le Projet Atlas doit créer un cadre commun permettant de tester, apprendre, former et déployer des pratiques adaptées aux besoins de l’organisation. Le projet doit également permettre de clarifier les conditions de succès avant un élargissement ultérieur de l’initiative.</w:t>
      </w:r>
    </w:p>
    <w:p>
      <w:pPr>
        <w:pStyle w:val="Heading2"/>
        <w:keepNext/>
      </w:pPr>
      <w:r>
        <w:t>2.1 Principes directeurs</w:t>
      </w:r>
    </w:p>
    <w:p>
      <w:pPr>
        <w:pStyle w:val="ListBullet"/>
        <w:keepLines/>
        <w:spacing w:after="40"/>
      </w:pPr>
      <w:r>
        <w:t>Commencer par les besoins métier et les usages, puis déterminer les capacités technologiques nécessaires.</w:t>
      </w:r>
    </w:p>
    <w:p>
      <w:pPr>
        <w:pStyle w:val="ListBullet"/>
        <w:keepLines/>
        <w:spacing w:after="40"/>
      </w:pPr>
      <w:r>
        <w:t>Favoriser l’expérimentation encadrée, avec validation humaine des résultats produits par l’IA.</w:t>
      </w:r>
    </w:p>
    <w:p>
      <w:pPr>
        <w:pStyle w:val="ListBullet"/>
        <w:keepLines/>
        <w:spacing w:after="40"/>
      </w:pPr>
      <w:r>
        <w:t>Ne pas utiliser de données ou de contenus sensibles dans le pilote tant que les conditions de sécurité et de conformité applicables ne sont pas validées.</w:t>
      </w:r>
    </w:p>
    <w:p>
      <w:pPr>
        <w:pStyle w:val="ListBullet"/>
        <w:keepLines/>
        <w:spacing w:after="40"/>
      </w:pPr>
      <w:r>
        <w:t>Mesurer l’adoption réelle, pas uniquement l’activation des licences.</w:t>
      </w:r>
    </w:p>
    <w:p>
      <w:pPr>
        <w:pStyle w:val="ListBullet"/>
        <w:keepLines/>
        <w:spacing w:after="40"/>
      </w:pPr>
      <w:r>
        <w:t>Documenter les décisions, les apprentissages et les risques afin de soutenir les phases ultérieures.</w:t>
      </w:r>
    </w:p>
    <w:p>
      <w:r>
        <w:br w:type="page"/>
      </w:r>
    </w:p>
    <w:p>
      <w:pPr>
        <w:pStyle w:val="Heading1"/>
        <w:keepNext/>
      </w:pPr>
      <w:r>
        <w:t>3. Objectifs du projet</w:t>
      </w:r>
    </w:p>
    <w:p>
      <w:pPr>
        <w:pStyle w:val="Heading2"/>
        <w:keepNext/>
      </w:pPr>
      <w:r>
        <w:t>3.1 Objectif principal</w:t>
      </w:r>
    </w:p>
    <w:p>
      <w:pPr>
        <w:spacing w:after="120" w:line="259" w:lineRule="auto"/>
      </w:pPr>
      <w:r>
        <w:t>Préparer et lancer un programme d’adoption de Microsoft 365 Copilot auprès d’une population cible initiale de 500 employés, de manière à améliorer la productivité, la qualité du travail et la capacité des équipes à intégrer l’IA générative dans des processus professionnels réels.</w:t>
      </w:r>
    </w:p>
    <w:p>
      <w:pPr>
        <w:pStyle w:val="Heading2"/>
        <w:keepNext/>
      </w:pPr>
      <w:r>
        <w:t>3.2 Objectifs spécifiques</w:t>
      </w:r>
    </w:p>
    <w:p>
      <w:pPr>
        <w:pStyle w:val="ListBullet"/>
        <w:keepLines/>
        <w:spacing w:after="40"/>
      </w:pPr>
      <w:r>
        <w:t>Définir un cadre d’usage professionnel de l’IA générative adapté aux politiques de Contoso.</w:t>
      </w:r>
    </w:p>
    <w:p>
      <w:pPr>
        <w:pStyle w:val="ListBullet"/>
        <w:keepLines/>
        <w:spacing w:after="40"/>
      </w:pPr>
      <w:r>
        <w:t>Identifier les populations, fonctions et scénarios de travail prioritaires pour le lancement.</w:t>
      </w:r>
    </w:p>
    <w:p>
      <w:pPr>
        <w:pStyle w:val="ListBullet"/>
        <w:keepLines/>
        <w:spacing w:after="40"/>
      </w:pPr>
      <w:r>
        <w:t>Mettre en place une phase pilote permettant de valider les conditions d’adoption avant le déploiement à plus grande échelle.</w:t>
      </w:r>
    </w:p>
    <w:p>
      <w:pPr>
        <w:pStyle w:val="ListBullet"/>
        <w:keepLines/>
        <w:spacing w:after="40"/>
      </w:pPr>
      <w:r>
        <w:t>Former les utilisateurs ciblés et constituer un réseau d’ambassadeurs capable de soutenir l’adoption sur le terrain.</w:t>
      </w:r>
    </w:p>
    <w:p>
      <w:pPr>
        <w:pStyle w:val="ListBullet"/>
        <w:keepLines/>
        <w:spacing w:after="40"/>
      </w:pPr>
      <w:r>
        <w:t>Mettre en place des mécanismes de soutien, de communication et de collecte de rétroaction.</w:t>
      </w:r>
    </w:p>
    <w:p>
      <w:pPr>
        <w:pStyle w:val="ListBullet"/>
        <w:keepLines/>
        <w:spacing w:after="40"/>
      </w:pPr>
      <w:r>
        <w:t>Mesurer l’adoption et les bénéfices observés au cours des trois premiers mois.</w:t>
      </w:r>
    </w:p>
    <w:p>
      <w:pPr>
        <w:pStyle w:val="ListBullet"/>
        <w:keepLines/>
        <w:spacing w:after="40"/>
      </w:pPr>
      <w:r>
        <w:t>Documenter les risques, décisions, contraintes et apprentissages afin d’éclairer les étapes suivantes.</w:t>
      </w:r>
    </w:p>
    <w:p>
      <w:pPr>
        <w:pStyle w:val="Heading1"/>
        <w:keepNext/>
      </w:pPr>
      <w:r>
        <w:t>4. Périmètre</w:t>
      </w:r>
    </w:p>
    <w:p>
      <w:pPr>
        <w:pStyle w:val="Heading2"/>
        <w:keepNext/>
      </w:pPr>
      <w:r>
        <w:t>4.1 Inclus dans le périmètre</w:t>
      </w:r>
    </w:p>
    <w:p>
      <w:pPr>
        <w:pStyle w:val="ListBullet"/>
        <w:keepLines/>
        <w:spacing w:after="40"/>
      </w:pPr>
      <w:r>
        <w:t>Préparation du programme d’adoption Microsoft 365 Copilot.</w:t>
      </w:r>
    </w:p>
    <w:p>
      <w:pPr>
        <w:pStyle w:val="ListBullet"/>
        <w:keepLines/>
        <w:spacing w:after="40"/>
      </w:pPr>
      <w:r>
        <w:t>Sélection et préparation d’une population pilote; la taille et les critères de sélection restent à confirmer.</w:t>
      </w:r>
    </w:p>
    <w:p>
      <w:pPr>
        <w:pStyle w:val="ListBullet"/>
        <w:keepLines/>
        <w:spacing w:after="40"/>
      </w:pPr>
      <w:r>
        <w:t>Définition des parcours de formation et d’accompagnement.</w:t>
      </w:r>
    </w:p>
    <w:p>
      <w:pPr>
        <w:pStyle w:val="ListBullet"/>
        <w:keepLines/>
        <w:spacing w:after="40"/>
      </w:pPr>
      <w:r>
        <w:t>Création d’un réseau d’ambassadeurs; la cible quantitative finale reste à valider.</w:t>
      </w:r>
    </w:p>
    <w:p>
      <w:pPr>
        <w:pStyle w:val="ListBullet"/>
        <w:keepLines/>
        <w:spacing w:after="40"/>
      </w:pPr>
      <w:r>
        <w:t>Communications internes liées au programme, sous réserve des validations requises.</w:t>
      </w:r>
    </w:p>
    <w:p>
      <w:pPr>
        <w:pStyle w:val="ListBullet"/>
        <w:keepLines/>
        <w:spacing w:after="40"/>
      </w:pPr>
      <w:r>
        <w:t>Mise en place d’indicateurs d’usage, d’adoption et de satisfaction.</w:t>
      </w:r>
    </w:p>
    <w:p>
      <w:pPr>
        <w:pStyle w:val="ListBullet"/>
        <w:keepLines/>
        <w:spacing w:after="40"/>
      </w:pPr>
      <w:r>
        <w:t>Coordination avec les équipes TI, RH, Formation, Finance, Achats, Juridique et Conformité.</w:t>
      </w:r>
    </w:p>
    <w:p>
      <w:pPr>
        <w:pStyle w:val="Heading2"/>
        <w:keepNext/>
      </w:pPr>
      <w:r>
        <w:t>4.2 Hors périmètre de la présente charte</w:t>
      </w:r>
    </w:p>
    <w:p>
      <w:pPr>
        <w:pStyle w:val="ListBullet"/>
        <w:keepLines/>
        <w:spacing w:after="40"/>
      </w:pPr>
      <w:r>
        <w:t>Déploiement de solutions d’IA générative hors de l’environnement approuvé par Contoso.</w:t>
      </w:r>
    </w:p>
    <w:p>
      <w:pPr>
        <w:pStyle w:val="ListBullet"/>
        <w:keepLines/>
        <w:spacing w:after="40"/>
      </w:pPr>
      <w:r>
        <w:t>Automatisation autonome de processus métier critiques sans validation humaine.</w:t>
      </w:r>
    </w:p>
    <w:p>
      <w:pPr>
        <w:pStyle w:val="ListBullet"/>
        <w:keepLines/>
        <w:spacing w:after="40"/>
      </w:pPr>
      <w:r>
        <w:t>Déploiement organisationnel au-delà de la population cible initiale de 500 employés.</w:t>
      </w:r>
    </w:p>
    <w:p>
      <w:pPr>
        <w:pStyle w:val="ListBullet"/>
        <w:keepLines/>
        <w:spacing w:after="40"/>
      </w:pPr>
      <w:r>
        <w:t>Modification des politiques globales de sécurité, de confidentialité ou de gestion documentaire de Contoso.</w:t>
      </w:r>
    </w:p>
    <w:p>
      <w:pPr>
        <w:pStyle w:val="ListBullet"/>
        <w:keepLines/>
        <w:spacing w:after="40"/>
      </w:pPr>
      <w:r>
        <w:t>Engagement définitif des coûts de licences Microsoft 365 Copilot avant validation financière et d’acquisition.</w:t>
      </w:r>
    </w:p>
    <w:p>
      <w:r>
        <w:br w:type="page"/>
      </w:r>
    </w:p>
    <w:p>
      <w:pPr>
        <w:pStyle w:val="Heading1"/>
        <w:keepNext/>
      </w:pPr>
      <w:r>
        <w:t>5. Gouvernance et responsabilités</w:t>
      </w:r>
    </w:p>
    <w:p>
      <w:pPr>
        <w:spacing w:after="120" w:line="259" w:lineRule="auto"/>
      </w:pPr>
      <w:r>
        <w:t>Le Projet Atlas est commandité par la Direction des Opérations. La gouvernance du projet repose sur une collaboration entre les fonctions métier et les équipes responsables de la technologie, de l’adoption, des finances et de la conformité.</w:t>
      </w:r>
    </w:p>
    <w:tbl>
      <w:tblPr>
        <w:tblW w:type="auto" w:w="0"/>
        <w:jc w:val="center"/>
        <w:tblLayout w:type="fixed"/>
        <w:tblLook w:firstColumn="1" w:firstRow="1" w:lastColumn="0" w:lastRow="0" w:noHBand="0" w:noVBand="1" w:val="04A0"/>
      </w:tblPr>
      <w:tblGrid>
        <w:gridCol w:w="2376"/>
        <w:gridCol w:w="3528"/>
        <w:gridCol w:w="4248"/>
      </w:tblGrid>
      <w:tr>
        <w:trPr>
          <w:trHeight w:hRule="atLeast"/>
          <w:tblHeader w:val="true"/>
        </w:trPr>
        <w:tc>
          <w:tcPr>
            <w:tcW w:type="dxa" w:w="3389"/>
            <w:shd w:fill="17365D"/>
            <w:tcMar>
              <w:top w:w="100" w:type="dxa"/>
              <w:start w:w="90" w:type="dxa"/>
              <w:bottom w:w="100" w:type="dxa"/>
              <w:end w:w="90" w:type="dxa"/>
            </w:tcMar>
            <w:vAlign w:val="center"/>
          </w:tcPr>
          <w:p>
            <w:pPr>
              <w:keepLines/>
            </w:pPr>
            <w:r>
              <w:rPr>
                <w:rFonts w:ascii="Carlito" w:hAnsi="Carlito" w:eastAsia="Carlito"/>
                <w:b/>
                <w:color w:val="FFFFFF"/>
                <w:sz w:val="18"/>
              </w:rPr>
              <w:t>Rôle / fonction</w:t>
            </w:r>
          </w:p>
        </w:tc>
        <w:tc>
          <w:tcPr>
            <w:tcW w:type="dxa" w:w="3389"/>
            <w:shd w:fill="17365D"/>
            <w:tcMar>
              <w:top w:w="100" w:type="dxa"/>
              <w:start w:w="90" w:type="dxa"/>
              <w:bottom w:w="100" w:type="dxa"/>
              <w:end w:w="90" w:type="dxa"/>
            </w:tcMar>
            <w:vAlign w:val="center"/>
          </w:tcPr>
          <w:p>
            <w:pPr>
              <w:keepLines/>
            </w:pPr>
            <w:r>
              <w:rPr>
                <w:rFonts w:ascii="Carlito" w:hAnsi="Carlito" w:eastAsia="Carlito"/>
                <w:b/>
                <w:color w:val="FFFFFF"/>
                <w:sz w:val="18"/>
              </w:rPr>
              <w:t>Responsabilité principale</w:t>
            </w:r>
          </w:p>
        </w:tc>
        <w:tc>
          <w:tcPr>
            <w:tcW w:type="dxa" w:w="3389"/>
            <w:shd w:fill="17365D"/>
            <w:tcMar>
              <w:top w:w="100" w:type="dxa"/>
              <w:start w:w="90" w:type="dxa"/>
              <w:bottom w:w="100" w:type="dxa"/>
              <w:end w:w="90" w:type="dxa"/>
            </w:tcMar>
            <w:vAlign w:val="center"/>
          </w:tcPr>
          <w:p>
            <w:pPr>
              <w:keepLines/>
            </w:pPr>
            <w:r>
              <w:rPr>
                <w:rFonts w:ascii="Carlito" w:hAnsi="Carlito" w:eastAsia="Carlito"/>
                <w:b/>
                <w:color w:val="FFFFFF"/>
                <w:sz w:val="18"/>
              </w:rPr>
              <w:t>Responsabilités clés</w:t>
            </w:r>
          </w:p>
        </w:tc>
      </w:tr>
      <w:tr>
        <w:trPr>
          <w:trHeight w:hRule="atLeast"/>
        </w:trPr>
        <w:tc>
          <w:tcPr>
            <w:tcW w:type="dxa" w:w="2376"/>
            <w:tcMar>
              <w:top w:w="85" w:type="dxa"/>
              <w:start w:w="80" w:type="dxa"/>
              <w:bottom w:w="85" w:type="dxa"/>
              <w:end w:w="80" w:type="dxa"/>
            </w:tcMar>
            <w:tcBorders>
              <w:bottom w:sz="2" w:val="single" w:color="D9DEE5"/>
            </w:tcBorders>
            <w:vAlign w:val="center"/>
          </w:tcPr>
          <w:p>
            <w:pPr>
              <w:keepLines/>
            </w:pPr>
            <w:r>
              <w:rPr>
                <w:rFonts w:ascii="Carlito" w:hAnsi="Carlito" w:eastAsia="Carlito"/>
                <w:b/>
                <w:color w:val="17365D"/>
                <w:sz w:val="17"/>
              </w:rPr>
              <w:t>Sponsor — Opérations</w:t>
            </w:r>
          </w:p>
        </w:tc>
        <w:tc>
          <w:tcPr>
            <w:tcW w:type="dxa" w:w="3528"/>
            <w:tcMar>
              <w:top w:w="85" w:type="dxa"/>
              <w:start w:w="80" w:type="dxa"/>
              <w:bottom w:w="85" w:type="dxa"/>
              <w:end w:w="80" w:type="dxa"/>
            </w:tcMar>
            <w:tcBorders>
              <w:bottom w:sz="2" w:val="single" w:color="D9DEE5"/>
            </w:tcBorders>
            <w:vAlign w:val="center"/>
          </w:tcPr>
          <w:p>
            <w:pPr>
              <w:keepLines/>
            </w:pPr>
            <w:r>
              <w:rPr>
                <w:rFonts w:ascii="Carlito" w:hAnsi="Carlito" w:eastAsia="Carlito"/>
                <w:b w:val="0"/>
                <w:color w:val="40464D"/>
                <w:sz w:val="17"/>
              </w:rPr>
              <w:t>Orientation et arbitrage</w:t>
            </w:r>
          </w:p>
        </w:tc>
        <w:tc>
          <w:tcPr>
            <w:tcW w:type="dxa" w:w="4248"/>
            <w:tcMar>
              <w:top w:w="85" w:type="dxa"/>
              <w:start w:w="80" w:type="dxa"/>
              <w:bottom w:w="85" w:type="dxa"/>
              <w:end w:w="80" w:type="dxa"/>
            </w:tcMar>
            <w:tcBorders>
              <w:bottom w:sz="2" w:val="single" w:color="D9DEE5"/>
            </w:tcBorders>
            <w:vAlign w:val="center"/>
          </w:tcPr>
          <w:p>
            <w:pPr>
              <w:keepLines/>
            </w:pPr>
            <w:r>
              <w:rPr>
                <w:rFonts w:ascii="Carlito" w:hAnsi="Carlito" w:eastAsia="Carlito"/>
                <w:b w:val="0"/>
                <w:color w:val="40464D"/>
                <w:sz w:val="17"/>
              </w:rPr>
              <w:t>Confirmer les priorités, soutenir le programme, arbitrer les enjeux majeurs et porter la décision de lancement.</w:t>
            </w:r>
          </w:p>
        </w:tc>
      </w:tr>
      <w:tr>
        <w:trPr>
          <w:trHeight w:hRule="atLeast"/>
        </w:trPr>
        <w:tc>
          <w:tcPr>
            <w:tcW w:type="dxa" w:w="2376"/>
            <w:shd w:fill="FAFBFC"/>
            <w:tcMar>
              <w:top w:w="85" w:type="dxa"/>
              <w:start w:w="80" w:type="dxa"/>
              <w:bottom w:w="85" w:type="dxa"/>
              <w:end w:w="80" w:type="dxa"/>
            </w:tcMar>
            <w:tcBorders>
              <w:bottom w:sz="2" w:val="single" w:color="D9DEE5"/>
            </w:tcBorders>
            <w:vAlign w:val="center"/>
          </w:tcPr>
          <w:p>
            <w:pPr>
              <w:keepLines/>
            </w:pPr>
            <w:r>
              <w:rPr>
                <w:rFonts w:ascii="Carlito" w:hAnsi="Carlito" w:eastAsia="Carlito"/>
                <w:b/>
                <w:color w:val="17365D"/>
                <w:sz w:val="17"/>
              </w:rPr>
              <w:t>Responsable de programme</w:t>
            </w:r>
          </w:p>
        </w:tc>
        <w:tc>
          <w:tcPr>
            <w:tcW w:type="dxa" w:w="3528"/>
            <w:shd w:fill="FAFBFC"/>
            <w:tcMar>
              <w:top w:w="85" w:type="dxa"/>
              <w:start w:w="80" w:type="dxa"/>
              <w:bottom w:w="85" w:type="dxa"/>
              <w:end w:w="80" w:type="dxa"/>
            </w:tcMar>
            <w:tcBorders>
              <w:bottom w:sz="2" w:val="single" w:color="D9DEE5"/>
            </w:tcBorders>
            <w:vAlign w:val="center"/>
          </w:tcPr>
          <w:p>
            <w:pPr>
              <w:keepLines/>
            </w:pPr>
            <w:r>
              <w:rPr>
                <w:rFonts w:ascii="Carlito" w:hAnsi="Carlito" w:eastAsia="Carlito"/>
                <w:b w:val="0"/>
                <w:color w:val="40464D"/>
                <w:sz w:val="17"/>
              </w:rPr>
              <w:t>Coordination globale</w:t>
            </w:r>
          </w:p>
        </w:tc>
        <w:tc>
          <w:tcPr>
            <w:tcW w:type="dxa" w:w="4248"/>
            <w:shd w:fill="FAFBFC"/>
            <w:tcMar>
              <w:top w:w="85" w:type="dxa"/>
              <w:start w:w="80" w:type="dxa"/>
              <w:bottom w:w="85" w:type="dxa"/>
              <w:end w:w="80" w:type="dxa"/>
            </w:tcMar>
            <w:tcBorders>
              <w:bottom w:sz="2" w:val="single" w:color="D9DEE5"/>
            </w:tcBorders>
            <w:vAlign w:val="center"/>
          </w:tcPr>
          <w:p>
            <w:pPr>
              <w:keepLines/>
            </w:pPr>
            <w:r>
              <w:rPr>
                <w:rFonts w:ascii="Carlito" w:hAnsi="Carlito" w:eastAsia="Carlito"/>
                <w:b w:val="0"/>
                <w:color w:val="40464D"/>
                <w:sz w:val="17"/>
              </w:rPr>
              <w:t>Maintenir le plan, préparer les décisions, coordonner les parties prenantes et assurer le suivi des risques.</w:t>
            </w:r>
          </w:p>
        </w:tc>
      </w:tr>
      <w:tr>
        <w:trPr>
          <w:trHeight w:hRule="atLeast"/>
        </w:trPr>
        <w:tc>
          <w:tcPr>
            <w:tcW w:type="dxa" w:w="2376"/>
            <w:tcMar>
              <w:top w:w="85" w:type="dxa"/>
              <w:start w:w="80" w:type="dxa"/>
              <w:bottom w:w="85" w:type="dxa"/>
              <w:end w:w="80" w:type="dxa"/>
            </w:tcMar>
            <w:tcBorders>
              <w:bottom w:sz="2" w:val="single" w:color="D9DEE5"/>
            </w:tcBorders>
            <w:vAlign w:val="center"/>
          </w:tcPr>
          <w:p>
            <w:pPr>
              <w:keepLines/>
            </w:pPr>
            <w:r>
              <w:rPr>
                <w:rFonts w:ascii="Carlito" w:hAnsi="Carlito" w:eastAsia="Carlito"/>
                <w:b/>
                <w:color w:val="17365D"/>
                <w:sz w:val="17"/>
              </w:rPr>
              <w:t>TI</w:t>
            </w:r>
          </w:p>
        </w:tc>
        <w:tc>
          <w:tcPr>
            <w:tcW w:type="dxa" w:w="3528"/>
            <w:tcMar>
              <w:top w:w="85" w:type="dxa"/>
              <w:start w:w="80" w:type="dxa"/>
              <w:bottom w:w="85" w:type="dxa"/>
              <w:end w:w="80" w:type="dxa"/>
            </w:tcMar>
            <w:tcBorders>
              <w:bottom w:sz="2" w:val="single" w:color="D9DEE5"/>
            </w:tcBorders>
            <w:vAlign w:val="center"/>
          </w:tcPr>
          <w:p>
            <w:pPr>
              <w:keepLines/>
            </w:pPr>
            <w:r>
              <w:rPr>
                <w:rFonts w:ascii="Carlito" w:hAnsi="Carlito" w:eastAsia="Carlito"/>
                <w:b w:val="0"/>
                <w:color w:val="40464D"/>
                <w:sz w:val="17"/>
              </w:rPr>
              <w:t>Préparation technique</w:t>
            </w:r>
          </w:p>
        </w:tc>
        <w:tc>
          <w:tcPr>
            <w:tcW w:type="dxa" w:w="4248"/>
            <w:tcMar>
              <w:top w:w="85" w:type="dxa"/>
              <w:start w:w="80" w:type="dxa"/>
              <w:bottom w:w="85" w:type="dxa"/>
              <w:end w:w="80" w:type="dxa"/>
            </w:tcMar>
            <w:tcBorders>
              <w:bottom w:sz="2" w:val="single" w:color="D9DEE5"/>
            </w:tcBorders>
            <w:vAlign w:val="center"/>
          </w:tcPr>
          <w:p>
            <w:pPr>
              <w:keepLines/>
            </w:pPr>
            <w:r>
              <w:rPr>
                <w:rFonts w:ascii="Carlito" w:hAnsi="Carlito" w:eastAsia="Carlito"/>
                <w:b w:val="0"/>
                <w:color w:val="40464D"/>
                <w:sz w:val="17"/>
              </w:rPr>
              <w:t>Valider l’environnement, la disponibilité des services, les prérequis et le soutien technique.</w:t>
            </w:r>
          </w:p>
        </w:tc>
      </w:tr>
      <w:tr>
        <w:trPr>
          <w:trHeight w:hRule="atLeast"/>
        </w:trPr>
        <w:tc>
          <w:tcPr>
            <w:tcW w:type="dxa" w:w="2376"/>
            <w:shd w:fill="FAFBFC"/>
            <w:tcMar>
              <w:top w:w="85" w:type="dxa"/>
              <w:start w:w="80" w:type="dxa"/>
              <w:bottom w:w="85" w:type="dxa"/>
              <w:end w:w="80" w:type="dxa"/>
            </w:tcMar>
            <w:tcBorders>
              <w:bottom w:sz="2" w:val="single" w:color="D9DEE5"/>
            </w:tcBorders>
            <w:vAlign w:val="center"/>
          </w:tcPr>
          <w:p>
            <w:pPr>
              <w:keepLines/>
            </w:pPr>
            <w:r>
              <w:rPr>
                <w:rFonts w:ascii="Carlito" w:hAnsi="Carlito" w:eastAsia="Carlito"/>
                <w:b/>
                <w:color w:val="17365D"/>
                <w:sz w:val="17"/>
              </w:rPr>
              <w:t>RH</w:t>
            </w:r>
          </w:p>
        </w:tc>
        <w:tc>
          <w:tcPr>
            <w:tcW w:type="dxa" w:w="3528"/>
            <w:shd w:fill="FAFBFC"/>
            <w:tcMar>
              <w:top w:w="85" w:type="dxa"/>
              <w:start w:w="80" w:type="dxa"/>
              <w:bottom w:w="85" w:type="dxa"/>
              <w:end w:w="80" w:type="dxa"/>
            </w:tcMar>
            <w:tcBorders>
              <w:bottom w:sz="2" w:val="single" w:color="D9DEE5"/>
            </w:tcBorders>
            <w:vAlign w:val="center"/>
          </w:tcPr>
          <w:p>
            <w:pPr>
              <w:keepLines/>
            </w:pPr>
            <w:r>
              <w:rPr>
                <w:rFonts w:ascii="Carlito" w:hAnsi="Carlito" w:eastAsia="Carlito"/>
                <w:b w:val="0"/>
                <w:color w:val="40464D"/>
                <w:sz w:val="17"/>
              </w:rPr>
              <w:t>Population et changement</w:t>
            </w:r>
          </w:p>
        </w:tc>
        <w:tc>
          <w:tcPr>
            <w:tcW w:type="dxa" w:w="4248"/>
            <w:shd w:fill="FAFBFC"/>
            <w:tcMar>
              <w:top w:w="85" w:type="dxa"/>
              <w:start w:w="80" w:type="dxa"/>
              <w:bottom w:w="85" w:type="dxa"/>
              <w:end w:w="80" w:type="dxa"/>
            </w:tcMar>
            <w:tcBorders>
              <w:bottom w:sz="2" w:val="single" w:color="D9DEE5"/>
            </w:tcBorders>
            <w:vAlign w:val="center"/>
          </w:tcPr>
          <w:p>
            <w:pPr>
              <w:keepLines/>
            </w:pPr>
            <w:r>
              <w:rPr>
                <w:rFonts w:ascii="Carlito" w:hAnsi="Carlito" w:eastAsia="Carlito"/>
                <w:b w:val="0"/>
                <w:color w:val="40464D"/>
                <w:sz w:val="17"/>
              </w:rPr>
              <w:t>Contribuer à la sélection des participants, aux communications et à l’accompagnement des équipes.</w:t>
            </w:r>
          </w:p>
        </w:tc>
      </w:tr>
      <w:tr>
        <w:trPr>
          <w:trHeight w:hRule="atLeast"/>
        </w:trPr>
        <w:tc>
          <w:tcPr>
            <w:tcW w:type="dxa" w:w="2376"/>
            <w:tcMar>
              <w:top w:w="85" w:type="dxa"/>
              <w:start w:w="80" w:type="dxa"/>
              <w:bottom w:w="85" w:type="dxa"/>
              <w:end w:w="80" w:type="dxa"/>
            </w:tcMar>
            <w:tcBorders>
              <w:bottom w:sz="2" w:val="single" w:color="D9DEE5"/>
            </w:tcBorders>
            <w:vAlign w:val="center"/>
          </w:tcPr>
          <w:p>
            <w:pPr>
              <w:keepLines/>
            </w:pPr>
            <w:r>
              <w:rPr>
                <w:rFonts w:ascii="Carlito" w:hAnsi="Carlito" w:eastAsia="Carlito"/>
                <w:b/>
                <w:color w:val="17365D"/>
                <w:sz w:val="17"/>
              </w:rPr>
              <w:t>Formation</w:t>
            </w:r>
          </w:p>
        </w:tc>
        <w:tc>
          <w:tcPr>
            <w:tcW w:type="dxa" w:w="3528"/>
            <w:tcMar>
              <w:top w:w="85" w:type="dxa"/>
              <w:start w:w="80" w:type="dxa"/>
              <w:bottom w:w="85" w:type="dxa"/>
              <w:end w:w="80" w:type="dxa"/>
            </w:tcMar>
            <w:tcBorders>
              <w:bottom w:sz="2" w:val="single" w:color="D9DEE5"/>
            </w:tcBorders>
            <w:vAlign w:val="center"/>
          </w:tcPr>
          <w:p>
            <w:pPr>
              <w:keepLines/>
            </w:pPr>
            <w:r>
              <w:rPr>
                <w:rFonts w:ascii="Carlito" w:hAnsi="Carlito" w:eastAsia="Carlito"/>
                <w:b w:val="0"/>
                <w:color w:val="40464D"/>
                <w:sz w:val="17"/>
              </w:rPr>
              <w:t>Développement des compétences</w:t>
            </w:r>
          </w:p>
        </w:tc>
        <w:tc>
          <w:tcPr>
            <w:tcW w:type="dxa" w:w="4248"/>
            <w:tcMar>
              <w:top w:w="85" w:type="dxa"/>
              <w:start w:w="80" w:type="dxa"/>
              <w:bottom w:w="85" w:type="dxa"/>
              <w:end w:w="80" w:type="dxa"/>
            </w:tcMar>
            <w:tcBorders>
              <w:bottom w:sz="2" w:val="single" w:color="D9DEE5"/>
            </w:tcBorders>
            <w:vAlign w:val="center"/>
          </w:tcPr>
          <w:p>
            <w:pPr>
              <w:keepLines/>
            </w:pPr>
            <w:r>
              <w:rPr>
                <w:rFonts w:ascii="Carlito" w:hAnsi="Carlito" w:eastAsia="Carlito"/>
                <w:b w:val="0"/>
                <w:color w:val="40464D"/>
                <w:sz w:val="17"/>
              </w:rPr>
              <w:t>Préparer les parcours, planifier les cohortes et soutenir les ambassadeurs.</w:t>
            </w:r>
          </w:p>
        </w:tc>
      </w:tr>
      <w:tr>
        <w:trPr>
          <w:trHeight w:hRule="atLeast"/>
        </w:trPr>
        <w:tc>
          <w:tcPr>
            <w:tcW w:type="dxa" w:w="2376"/>
            <w:shd w:fill="FAFBFC"/>
            <w:tcMar>
              <w:top w:w="85" w:type="dxa"/>
              <w:start w:w="80" w:type="dxa"/>
              <w:bottom w:w="85" w:type="dxa"/>
              <w:end w:w="80" w:type="dxa"/>
            </w:tcMar>
            <w:tcBorders>
              <w:bottom w:sz="2" w:val="single" w:color="D9DEE5"/>
            </w:tcBorders>
            <w:vAlign w:val="center"/>
          </w:tcPr>
          <w:p>
            <w:pPr>
              <w:keepLines/>
            </w:pPr>
            <w:r>
              <w:rPr>
                <w:rFonts w:ascii="Carlito" w:hAnsi="Carlito" w:eastAsia="Carlito"/>
                <w:b/>
                <w:color w:val="17365D"/>
                <w:sz w:val="17"/>
              </w:rPr>
              <w:t>Finance / Achats</w:t>
            </w:r>
          </w:p>
        </w:tc>
        <w:tc>
          <w:tcPr>
            <w:tcW w:type="dxa" w:w="3528"/>
            <w:shd w:fill="FAFBFC"/>
            <w:tcMar>
              <w:top w:w="85" w:type="dxa"/>
              <w:start w:w="80" w:type="dxa"/>
              <w:bottom w:w="85" w:type="dxa"/>
              <w:end w:w="80" w:type="dxa"/>
            </w:tcMar>
            <w:tcBorders>
              <w:bottom w:sz="2" w:val="single" w:color="D9DEE5"/>
            </w:tcBorders>
            <w:vAlign w:val="center"/>
          </w:tcPr>
          <w:p>
            <w:pPr>
              <w:keepLines/>
            </w:pPr>
            <w:r>
              <w:rPr>
                <w:rFonts w:ascii="Carlito" w:hAnsi="Carlito" w:eastAsia="Carlito"/>
                <w:b w:val="0"/>
                <w:color w:val="40464D"/>
                <w:sz w:val="17"/>
              </w:rPr>
              <w:t>Budget et acquisition</w:t>
            </w:r>
          </w:p>
        </w:tc>
        <w:tc>
          <w:tcPr>
            <w:tcW w:type="dxa" w:w="4248"/>
            <w:shd w:fill="FAFBFC"/>
            <w:tcMar>
              <w:top w:w="85" w:type="dxa"/>
              <w:start w:w="80" w:type="dxa"/>
              <w:bottom w:w="85" w:type="dxa"/>
              <w:end w:w="80" w:type="dxa"/>
            </w:tcMar>
            <w:tcBorders>
              <w:bottom w:sz="2" w:val="single" w:color="D9DEE5"/>
            </w:tcBorders>
            <w:vAlign w:val="center"/>
          </w:tcPr>
          <w:p>
            <w:pPr>
              <w:keepLines/>
            </w:pPr>
            <w:r>
              <w:rPr>
                <w:rFonts w:ascii="Carlito" w:hAnsi="Carlito" w:eastAsia="Carlito"/>
                <w:b w:val="0"/>
                <w:color w:val="40464D"/>
                <w:sz w:val="17"/>
              </w:rPr>
              <w:t>Valider les coûts, les enveloppes, le processus d’acquisition et les échéances associées.</w:t>
            </w:r>
          </w:p>
        </w:tc>
      </w:tr>
      <w:tr>
        <w:trPr>
          <w:trHeight w:hRule="atLeast"/>
        </w:trPr>
        <w:tc>
          <w:tcPr>
            <w:tcW w:type="dxa" w:w="2376"/>
            <w:tcMar>
              <w:top w:w="85" w:type="dxa"/>
              <w:start w:w="80" w:type="dxa"/>
              <w:bottom w:w="85" w:type="dxa"/>
              <w:end w:w="80" w:type="dxa"/>
            </w:tcMar>
            <w:tcBorders>
              <w:bottom w:sz="2" w:val="single" w:color="D9DEE5"/>
            </w:tcBorders>
            <w:vAlign w:val="center"/>
          </w:tcPr>
          <w:p>
            <w:pPr>
              <w:keepLines/>
            </w:pPr>
            <w:r>
              <w:rPr>
                <w:rFonts w:ascii="Carlito" w:hAnsi="Carlito" w:eastAsia="Carlito"/>
                <w:b/>
                <w:color w:val="17365D"/>
                <w:sz w:val="17"/>
              </w:rPr>
              <w:t>Juridique / Conformité</w:t>
            </w:r>
          </w:p>
        </w:tc>
        <w:tc>
          <w:tcPr>
            <w:tcW w:type="dxa" w:w="3528"/>
            <w:tcMar>
              <w:top w:w="85" w:type="dxa"/>
              <w:start w:w="80" w:type="dxa"/>
              <w:bottom w:w="85" w:type="dxa"/>
              <w:end w:w="80" w:type="dxa"/>
            </w:tcMar>
            <w:tcBorders>
              <w:bottom w:sz="2" w:val="single" w:color="D9DEE5"/>
            </w:tcBorders>
            <w:vAlign w:val="center"/>
          </w:tcPr>
          <w:p>
            <w:pPr>
              <w:keepLines/>
            </w:pPr>
            <w:r>
              <w:rPr>
                <w:rFonts w:ascii="Carlito" w:hAnsi="Carlito" w:eastAsia="Carlito"/>
                <w:b w:val="0"/>
                <w:color w:val="40464D"/>
                <w:sz w:val="17"/>
              </w:rPr>
              <w:t>Cadre d’utilisation</w:t>
            </w:r>
          </w:p>
        </w:tc>
        <w:tc>
          <w:tcPr>
            <w:tcW w:type="dxa" w:w="4248"/>
            <w:tcMar>
              <w:top w:w="85" w:type="dxa"/>
              <w:start w:w="80" w:type="dxa"/>
              <w:bottom w:w="85" w:type="dxa"/>
              <w:end w:w="80" w:type="dxa"/>
            </w:tcMar>
            <w:tcBorders>
              <w:bottom w:sz="2" w:val="single" w:color="D9DEE5"/>
            </w:tcBorders>
            <w:vAlign w:val="center"/>
          </w:tcPr>
          <w:p>
            <w:pPr>
              <w:keepLines/>
            </w:pPr>
            <w:r>
              <w:rPr>
                <w:rFonts w:ascii="Carlito" w:hAnsi="Carlito" w:eastAsia="Carlito"/>
                <w:b w:val="0"/>
                <w:color w:val="40464D"/>
                <w:sz w:val="17"/>
              </w:rPr>
              <w:t>Valider les conditions relatives aux données, à la confidentialité, à la conservation et aux usages autorisés.</w:t>
            </w:r>
          </w:p>
        </w:tc>
      </w:tr>
    </w:tbl>
    <w:p>
      <w:pPr>
        <w:pStyle w:val="Heading2"/>
        <w:keepNext/>
      </w:pPr>
      <w:r>
        <w:t>5.1 Comité de lancement</w:t>
      </w:r>
    </w:p>
    <w:p>
      <w:pPr>
        <w:spacing w:after="120" w:line="259" w:lineRule="auto"/>
      </w:pPr>
      <w:r>
        <w:t>Un comité de lancement doit confirmer la préparation du programme avant l’ouverture à la population cible. Il examine notamment le calendrier, le budget, les résultats du pilote, les risques, les validations juridiques et de conformité, ainsi que la capacité des équipes à soutenir le lancement.</w:t>
      </w:r>
    </w:p>
    <w:tbl>
      <w:tblPr>
        <w:tblW w:type="auto" w:w="0"/>
        <w:jc w:val="center"/>
        <w:tblLayout w:type="autofit"/>
        <w:tblLook w:firstColumn="1" w:firstRow="1" w:lastColumn="0" w:lastRow="0" w:noHBand="0" w:noVBand="1" w:val="04A0"/>
      </w:tblPr>
      <w:tblGrid>
        <w:gridCol w:w="10166"/>
      </w:tblGrid>
      <w:tr>
        <w:trPr>
          <w:trHeight w:hRule="atLeast"/>
        </w:trPr>
        <w:tc>
          <w:tcPr>
            <w:tcW w:type="dxa" w:w="10166"/>
            <w:shd w:fill="E5F2F2"/>
            <w:tcBorders>
              <w:top w:sz="2" w:val="single" w:color="E5F2F2"/>
              <w:left w:sz="18" w:val="single" w:color="2E8B8B"/>
              <w:bottom w:sz="2" w:val="single" w:color="E5F2F2"/>
              <w:right w:sz="2" w:val="single" w:color="E5F2F2"/>
            </w:tcBorders>
            <w:tcMar>
              <w:top w:w="120" w:type="dxa"/>
              <w:start w:w="140" w:type="dxa"/>
              <w:bottom w:w="120" w:type="dxa"/>
              <w:end w:w="140" w:type="dxa"/>
            </w:tcMar>
            <w:vAlign w:val="center"/>
          </w:tcPr>
          <w:p>
            <w:pPr>
              <w:keepLines/>
              <w:spacing w:after="60"/>
            </w:pPr>
            <w:r>
              <w:rPr>
                <w:rFonts w:ascii="Carlito" w:hAnsi="Carlito" w:eastAsia="Carlito"/>
                <w:b/>
                <w:color w:val="17365D"/>
                <w:sz w:val="21"/>
              </w:rPr>
              <w:t>RÈGLE DE DÉCISION</w:t>
            </w:r>
          </w:p>
          <w:p>
            <w:pPr>
              <w:keepLines/>
              <w:spacing w:after="0"/>
            </w:pPr>
            <w:r>
              <w:rPr>
                <w:rFonts w:ascii="Carlito" w:hAnsi="Carlito" w:eastAsia="Carlito"/>
                <w:sz w:val="20"/>
              </w:rPr>
              <w:t>Une recommandation, une estimation ou une cible figurant dans un document de travail ne constitue pas une décision officielle tant qu’elle n’a pas été validée par la fonction ou l’instance compétente.</w:t>
            </w:r>
          </w:p>
        </w:tc>
      </w:tr>
    </w:tbl>
    <w:p>
      <w:pPr>
        <w:spacing w:after="20"/>
      </w:pPr>
    </w:p>
    <w:p>
      <w:r>
        <w:br w:type="page"/>
      </w:r>
    </w:p>
    <w:p>
      <w:pPr>
        <w:pStyle w:val="Heading1"/>
        <w:keepNext/>
      </w:pPr>
      <w:r>
        <w:t>6. Livrables attendus</w:t>
      </w:r>
    </w:p>
    <w:p>
      <w:pPr>
        <w:pStyle w:val="ListBullet"/>
        <w:keepLines/>
        <w:spacing w:after="40"/>
      </w:pPr>
      <w:r>
        <w:t>Plan de déploiement et de lancement du programme Atlas.</w:t>
      </w:r>
    </w:p>
    <w:p>
      <w:pPr>
        <w:pStyle w:val="ListBullet"/>
        <w:keepLines/>
        <w:spacing w:after="40"/>
      </w:pPr>
      <w:r>
        <w:t>Périmètre et critères de sélection de la population pilote.</w:t>
      </w:r>
    </w:p>
    <w:p>
      <w:pPr>
        <w:pStyle w:val="ListBullet"/>
        <w:keepLines/>
        <w:spacing w:after="40"/>
      </w:pPr>
      <w:r>
        <w:t>Plan de formation et calendrier des cohortes.</w:t>
      </w:r>
    </w:p>
    <w:p>
      <w:pPr>
        <w:pStyle w:val="ListBullet"/>
        <w:keepLines/>
        <w:spacing w:after="40"/>
      </w:pPr>
      <w:r>
        <w:t>Réseau d’ambassadeurs et mécanisme de soutien.</w:t>
      </w:r>
    </w:p>
    <w:p>
      <w:pPr>
        <w:pStyle w:val="ListBullet"/>
        <w:keepLines/>
        <w:spacing w:after="40"/>
      </w:pPr>
      <w:r>
        <w:t>Registre des risques et plan de mitigation.</w:t>
      </w:r>
    </w:p>
    <w:p>
      <w:pPr>
        <w:pStyle w:val="ListBullet"/>
        <w:keepLines/>
        <w:spacing w:after="40"/>
      </w:pPr>
      <w:r>
        <w:t>Budget prévisionnel consolidé et validation des coûts de licences.</w:t>
      </w:r>
    </w:p>
    <w:p>
      <w:pPr>
        <w:pStyle w:val="ListBullet"/>
        <w:keepLines/>
        <w:spacing w:after="40"/>
      </w:pPr>
      <w:r>
        <w:t>Cadre d’utilisation et validations juridiques / conformité nécessaires.</w:t>
      </w:r>
    </w:p>
    <w:p>
      <w:pPr>
        <w:pStyle w:val="ListBullet"/>
        <w:keepLines/>
        <w:spacing w:after="40"/>
      </w:pPr>
      <w:r>
        <w:t>Plan de communication interne.</w:t>
      </w:r>
    </w:p>
    <w:p>
      <w:pPr>
        <w:pStyle w:val="ListBullet"/>
        <w:keepLines/>
        <w:spacing w:after="40"/>
      </w:pPr>
      <w:r>
        <w:t>Tableau de bord d’adoption et indicateurs de succès.</w:t>
      </w:r>
    </w:p>
    <w:p>
      <w:pPr>
        <w:pStyle w:val="ListBullet"/>
        <w:keepLines/>
        <w:spacing w:after="40"/>
      </w:pPr>
      <w:r>
        <w:t>Note de décision destinée au comité de lancement.</w:t>
      </w:r>
    </w:p>
    <w:p>
      <w:pPr>
        <w:pStyle w:val="Heading1"/>
        <w:keepNext/>
      </w:pPr>
      <w:r>
        <w:t>7. Calendrier de référence</w:t>
      </w:r>
    </w:p>
    <w:p>
      <w:pPr>
        <w:spacing w:after="120" w:line="259" w:lineRule="auto"/>
      </w:pPr>
      <w:r>
        <w:t>Le calendrier suivant représente la cible de cadrage de la version 1.0. Il pourra évoluer selon les décisions du comité et les résultats des validations en cours.</w:t>
      </w:r>
    </w:p>
    <w:tbl>
      <w:tblPr>
        <w:tblW w:type="auto" w:w="0"/>
        <w:jc w:val="center"/>
        <w:tblLayout w:type="fixed"/>
        <w:tblLook w:firstColumn="1" w:firstRow="1" w:lastColumn="0" w:lastRow="0" w:noHBand="0" w:noVBand="1" w:val="04A0"/>
      </w:tblPr>
      <w:tblGrid>
        <w:gridCol w:w="2232"/>
        <w:gridCol w:w="3024"/>
        <w:gridCol w:w="4824"/>
      </w:tblGrid>
      <w:tr>
        <w:trPr>
          <w:trHeight w:hRule="atLeast"/>
          <w:tblHeader w:val="true"/>
        </w:trPr>
        <w:tc>
          <w:tcPr>
            <w:tcW w:type="dxa" w:w="3389"/>
            <w:shd w:fill="2F75B5"/>
            <w:tcMar>
              <w:top w:w="95" w:type="dxa"/>
              <w:start w:w="90" w:type="dxa"/>
              <w:bottom w:w="95" w:type="dxa"/>
              <w:end w:w="90" w:type="dxa"/>
            </w:tcMar>
            <w:vAlign w:val="center"/>
          </w:tcPr>
          <w:p>
            <w:pPr>
              <w:keepLines/>
            </w:pPr>
            <w:r>
              <w:rPr>
                <w:rFonts w:ascii="Carlito" w:hAnsi="Carlito" w:eastAsia="Carlito"/>
                <w:b/>
                <w:color w:val="FFFFFF"/>
                <w:sz w:val="18"/>
              </w:rPr>
              <w:t>Date cible</w:t>
            </w:r>
          </w:p>
        </w:tc>
        <w:tc>
          <w:tcPr>
            <w:tcW w:type="dxa" w:w="3389"/>
            <w:shd w:fill="2F75B5"/>
            <w:tcMar>
              <w:top w:w="95" w:type="dxa"/>
              <w:start w:w="90" w:type="dxa"/>
              <w:bottom w:w="95" w:type="dxa"/>
              <w:end w:w="90" w:type="dxa"/>
            </w:tcMar>
            <w:vAlign w:val="center"/>
          </w:tcPr>
          <w:p>
            <w:pPr>
              <w:keepLines/>
            </w:pPr>
            <w:r>
              <w:rPr>
                <w:rFonts w:ascii="Carlito" w:hAnsi="Carlito" w:eastAsia="Carlito"/>
                <w:b/>
                <w:color w:val="FFFFFF"/>
                <w:sz w:val="18"/>
              </w:rPr>
              <w:t>Jalon</w:t>
            </w:r>
          </w:p>
        </w:tc>
        <w:tc>
          <w:tcPr>
            <w:tcW w:type="dxa" w:w="3389"/>
            <w:shd w:fill="2F75B5"/>
            <w:tcMar>
              <w:top w:w="95" w:type="dxa"/>
              <w:start w:w="90" w:type="dxa"/>
              <w:bottom w:w="95" w:type="dxa"/>
              <w:end w:w="90" w:type="dxa"/>
            </w:tcMar>
            <w:vAlign w:val="center"/>
          </w:tcPr>
          <w:p>
            <w:pPr>
              <w:keepLines/>
            </w:pPr>
            <w:r>
              <w:rPr>
                <w:rFonts w:ascii="Carlito" w:hAnsi="Carlito" w:eastAsia="Carlito"/>
                <w:b/>
                <w:color w:val="FFFFFF"/>
                <w:sz w:val="18"/>
              </w:rPr>
              <w:t>Résultat attendu</w:t>
            </w:r>
          </w:p>
        </w:tc>
      </w:tr>
      <w:tr>
        <w:trPr>
          <w:trHeight w:hRule="atLeast"/>
        </w:trPr>
        <w:tc>
          <w:tcPr>
            <w:tcW w:type="dxa" w:w="2232"/>
            <w:tcMar>
              <w:top w:w="85" w:type="dxa"/>
              <w:start w:w="80" w:type="dxa"/>
              <w:bottom w:w="85" w:type="dxa"/>
              <w:end w:w="80" w:type="dxa"/>
            </w:tcMar>
            <w:tcBorders>
              <w:bottom w:sz="2" w:val="single" w:color="D9DEE5"/>
            </w:tcBorders>
            <w:vAlign w:val="center"/>
          </w:tcPr>
          <w:p>
            <w:pPr>
              <w:keepLines/>
            </w:pPr>
            <w:r>
              <w:rPr>
                <w:rFonts w:ascii="Carlito" w:hAnsi="Carlito" w:eastAsia="Carlito"/>
                <w:b w:val="0"/>
                <w:color w:val="40464D"/>
                <w:sz w:val="17"/>
              </w:rPr>
              <w:t>7 juillet 2026</w:t>
            </w:r>
          </w:p>
        </w:tc>
        <w:tc>
          <w:tcPr>
            <w:tcW w:type="dxa" w:w="3024"/>
            <w:tcMar>
              <w:top w:w="85" w:type="dxa"/>
              <w:start w:w="80" w:type="dxa"/>
              <w:bottom w:w="85" w:type="dxa"/>
              <w:end w:w="80" w:type="dxa"/>
            </w:tcMar>
            <w:tcBorders>
              <w:bottom w:sz="2" w:val="single" w:color="D9DEE5"/>
            </w:tcBorders>
            <w:vAlign w:val="center"/>
          </w:tcPr>
          <w:p>
            <w:pPr>
              <w:keepLines/>
            </w:pPr>
            <w:r>
              <w:rPr>
                <w:rFonts w:ascii="Carlito" w:hAnsi="Carlito" w:eastAsia="Carlito"/>
                <w:b/>
                <w:color w:val="17365D"/>
                <w:sz w:val="17"/>
              </w:rPr>
              <w:t>Approbation du cadrage</w:t>
            </w:r>
          </w:p>
        </w:tc>
        <w:tc>
          <w:tcPr>
            <w:tcW w:type="dxa" w:w="4824"/>
            <w:tcMar>
              <w:top w:w="85" w:type="dxa"/>
              <w:start w:w="80" w:type="dxa"/>
              <w:bottom w:w="85" w:type="dxa"/>
              <w:end w:w="80" w:type="dxa"/>
            </w:tcMar>
            <w:tcBorders>
              <w:bottom w:sz="2" w:val="single" w:color="D9DEE5"/>
            </w:tcBorders>
            <w:vAlign w:val="center"/>
          </w:tcPr>
          <w:p>
            <w:pPr>
              <w:keepLines/>
            </w:pPr>
            <w:r>
              <w:rPr>
                <w:rFonts w:ascii="Carlito" w:hAnsi="Carlito" w:eastAsia="Carlito"/>
                <w:b w:val="0"/>
                <w:color w:val="40464D"/>
                <w:sz w:val="17"/>
              </w:rPr>
              <w:t>Charte de projet v1.0 approuvée pour cadrage initial.</w:t>
            </w:r>
          </w:p>
        </w:tc>
      </w:tr>
      <w:tr>
        <w:trPr>
          <w:trHeight w:hRule="atLeast"/>
        </w:trPr>
        <w:tc>
          <w:tcPr>
            <w:tcW w:type="dxa" w:w="2232"/>
            <w:shd w:fill="FAFBFC"/>
            <w:tcMar>
              <w:top w:w="85" w:type="dxa"/>
              <w:start w:w="80" w:type="dxa"/>
              <w:bottom w:w="85" w:type="dxa"/>
              <w:end w:w="80" w:type="dxa"/>
            </w:tcMar>
            <w:tcBorders>
              <w:bottom w:sz="2" w:val="single" w:color="D9DEE5"/>
            </w:tcBorders>
            <w:vAlign w:val="center"/>
          </w:tcPr>
          <w:p>
            <w:pPr>
              <w:keepLines/>
            </w:pPr>
            <w:r>
              <w:rPr>
                <w:rFonts w:ascii="Carlito" w:hAnsi="Carlito" w:eastAsia="Carlito"/>
                <w:b w:val="0"/>
                <w:color w:val="40464D"/>
                <w:sz w:val="17"/>
              </w:rPr>
              <w:t>31 juillet 2026</w:t>
            </w:r>
          </w:p>
        </w:tc>
        <w:tc>
          <w:tcPr>
            <w:tcW w:type="dxa" w:w="3024"/>
            <w:shd w:fill="FAFBFC"/>
            <w:tcMar>
              <w:top w:w="85" w:type="dxa"/>
              <w:start w:w="80" w:type="dxa"/>
              <w:bottom w:w="85" w:type="dxa"/>
              <w:end w:w="80" w:type="dxa"/>
            </w:tcMar>
            <w:tcBorders>
              <w:bottom w:sz="2" w:val="single" w:color="D9DEE5"/>
            </w:tcBorders>
            <w:vAlign w:val="center"/>
          </w:tcPr>
          <w:p>
            <w:pPr>
              <w:keepLines/>
            </w:pPr>
            <w:r>
              <w:rPr>
                <w:rFonts w:ascii="Carlito" w:hAnsi="Carlito" w:eastAsia="Carlito"/>
                <w:b/>
                <w:color w:val="17365D"/>
                <w:sz w:val="17"/>
              </w:rPr>
              <w:t>Préparation du pilote</w:t>
            </w:r>
          </w:p>
        </w:tc>
        <w:tc>
          <w:tcPr>
            <w:tcW w:type="dxa" w:w="4824"/>
            <w:shd w:fill="FAFBFC"/>
            <w:tcMar>
              <w:top w:w="85" w:type="dxa"/>
              <w:start w:w="80" w:type="dxa"/>
              <w:bottom w:w="85" w:type="dxa"/>
              <w:end w:w="80" w:type="dxa"/>
            </w:tcMar>
            <w:tcBorders>
              <w:bottom w:sz="2" w:val="single" w:color="D9DEE5"/>
            </w:tcBorders>
            <w:vAlign w:val="center"/>
          </w:tcPr>
          <w:p>
            <w:pPr>
              <w:keepLines/>
            </w:pPr>
            <w:r>
              <w:rPr>
                <w:rFonts w:ascii="Carlito" w:hAnsi="Carlito" w:eastAsia="Carlito"/>
                <w:b w:val="0"/>
                <w:color w:val="40464D"/>
                <w:sz w:val="17"/>
              </w:rPr>
              <w:t>Première proposition de population, scénarios d’usage et risques.</w:t>
            </w:r>
          </w:p>
        </w:tc>
      </w:tr>
      <w:tr>
        <w:trPr>
          <w:trHeight w:hRule="atLeast"/>
        </w:trPr>
        <w:tc>
          <w:tcPr>
            <w:tcW w:type="dxa" w:w="2232"/>
            <w:tcMar>
              <w:top w:w="85" w:type="dxa"/>
              <w:start w:w="80" w:type="dxa"/>
              <w:bottom w:w="85" w:type="dxa"/>
              <w:end w:w="80" w:type="dxa"/>
            </w:tcMar>
            <w:tcBorders>
              <w:bottom w:sz="2" w:val="single" w:color="D9DEE5"/>
            </w:tcBorders>
            <w:vAlign w:val="center"/>
          </w:tcPr>
          <w:p>
            <w:pPr>
              <w:keepLines/>
            </w:pPr>
            <w:r>
              <w:rPr>
                <w:rFonts w:ascii="Carlito" w:hAnsi="Carlito" w:eastAsia="Carlito"/>
                <w:b w:val="0"/>
                <w:color w:val="40464D"/>
                <w:sz w:val="17"/>
              </w:rPr>
              <w:t>28 août 2026</w:t>
            </w:r>
          </w:p>
        </w:tc>
        <w:tc>
          <w:tcPr>
            <w:tcW w:type="dxa" w:w="3024"/>
            <w:tcMar>
              <w:top w:w="85" w:type="dxa"/>
              <w:start w:w="80" w:type="dxa"/>
              <w:bottom w:w="85" w:type="dxa"/>
              <w:end w:w="80" w:type="dxa"/>
            </w:tcMar>
            <w:tcBorders>
              <w:bottom w:sz="2" w:val="single" w:color="D9DEE5"/>
            </w:tcBorders>
            <w:vAlign w:val="center"/>
          </w:tcPr>
          <w:p>
            <w:pPr>
              <w:keepLines/>
            </w:pPr>
            <w:r>
              <w:rPr>
                <w:rFonts w:ascii="Carlito" w:hAnsi="Carlito" w:eastAsia="Carlito"/>
                <w:b/>
                <w:color w:val="17365D"/>
                <w:sz w:val="17"/>
              </w:rPr>
              <w:t>Population pilote</w:t>
            </w:r>
          </w:p>
        </w:tc>
        <w:tc>
          <w:tcPr>
            <w:tcW w:type="dxa" w:w="4824"/>
            <w:tcMar>
              <w:top w:w="85" w:type="dxa"/>
              <w:start w:w="80" w:type="dxa"/>
              <w:bottom w:w="85" w:type="dxa"/>
              <w:end w:w="80" w:type="dxa"/>
            </w:tcMar>
            <w:tcBorders>
              <w:bottom w:sz="2" w:val="single" w:color="D9DEE5"/>
            </w:tcBorders>
            <w:vAlign w:val="center"/>
          </w:tcPr>
          <w:p>
            <w:pPr>
              <w:keepLines/>
            </w:pPr>
            <w:r>
              <w:rPr>
                <w:rFonts w:ascii="Carlito" w:hAnsi="Carlito" w:eastAsia="Carlito"/>
                <w:b w:val="0"/>
                <w:color w:val="40464D"/>
                <w:sz w:val="17"/>
              </w:rPr>
              <w:t>Périmètre, critères et participants proposés pour validation.</w:t>
            </w:r>
          </w:p>
        </w:tc>
      </w:tr>
      <w:tr>
        <w:trPr>
          <w:trHeight w:hRule="atLeast"/>
        </w:trPr>
        <w:tc>
          <w:tcPr>
            <w:tcW w:type="dxa" w:w="2232"/>
            <w:shd w:fill="FAFBFC"/>
            <w:tcMar>
              <w:top w:w="85" w:type="dxa"/>
              <w:start w:w="80" w:type="dxa"/>
              <w:bottom w:w="85" w:type="dxa"/>
              <w:end w:w="80" w:type="dxa"/>
            </w:tcMar>
            <w:tcBorders>
              <w:bottom w:sz="2" w:val="single" w:color="D9DEE5"/>
            </w:tcBorders>
            <w:vAlign w:val="center"/>
          </w:tcPr>
          <w:p>
            <w:pPr>
              <w:keepLines/>
            </w:pPr>
            <w:r>
              <w:rPr>
                <w:rFonts w:ascii="Carlito" w:hAnsi="Carlito" w:eastAsia="Carlito"/>
                <w:b w:val="0"/>
                <w:color w:val="40464D"/>
                <w:sz w:val="17"/>
              </w:rPr>
              <w:t>15 septembre 2026</w:t>
            </w:r>
          </w:p>
        </w:tc>
        <w:tc>
          <w:tcPr>
            <w:tcW w:type="dxa" w:w="3024"/>
            <w:shd w:fill="FAFBFC"/>
            <w:tcMar>
              <w:top w:w="85" w:type="dxa"/>
              <w:start w:w="80" w:type="dxa"/>
              <w:bottom w:w="85" w:type="dxa"/>
              <w:end w:w="80" w:type="dxa"/>
            </w:tcMar>
            <w:tcBorders>
              <w:bottom w:sz="2" w:val="single" w:color="D9DEE5"/>
            </w:tcBorders>
            <w:vAlign w:val="center"/>
          </w:tcPr>
          <w:p>
            <w:pPr>
              <w:keepLines/>
            </w:pPr>
            <w:r>
              <w:rPr>
                <w:rFonts w:ascii="Carlito" w:hAnsi="Carlito" w:eastAsia="Carlito"/>
                <w:b/>
                <w:color w:val="17365D"/>
                <w:sz w:val="17"/>
              </w:rPr>
              <w:t>Préparation opérationnelle</w:t>
            </w:r>
          </w:p>
        </w:tc>
        <w:tc>
          <w:tcPr>
            <w:tcW w:type="dxa" w:w="4824"/>
            <w:shd w:fill="FAFBFC"/>
            <w:tcMar>
              <w:top w:w="85" w:type="dxa"/>
              <w:start w:w="80" w:type="dxa"/>
              <w:bottom w:w="85" w:type="dxa"/>
              <w:end w:w="80" w:type="dxa"/>
            </w:tcMar>
            <w:tcBorders>
              <w:bottom w:sz="2" w:val="single" w:color="D9DEE5"/>
            </w:tcBorders>
            <w:vAlign w:val="center"/>
          </w:tcPr>
          <w:p>
            <w:pPr>
              <w:keepLines/>
            </w:pPr>
            <w:r>
              <w:rPr>
                <w:rFonts w:ascii="Carlito" w:hAnsi="Carlito" w:eastAsia="Carlito"/>
                <w:b w:val="0"/>
                <w:color w:val="40464D"/>
                <w:sz w:val="17"/>
              </w:rPr>
              <w:t>Formation, soutien, ambassadeurs et communications prêts pour la phase de validation.</w:t>
            </w:r>
          </w:p>
        </w:tc>
      </w:tr>
      <w:tr>
        <w:trPr>
          <w:trHeight w:hRule="atLeast"/>
        </w:trPr>
        <w:tc>
          <w:tcPr>
            <w:tcW w:type="dxa" w:w="2232"/>
            <w:tcMar>
              <w:top w:w="85" w:type="dxa"/>
              <w:start w:w="80" w:type="dxa"/>
              <w:bottom w:w="85" w:type="dxa"/>
              <w:end w:w="80" w:type="dxa"/>
            </w:tcMar>
            <w:tcBorders>
              <w:bottom w:sz="2" w:val="single" w:color="D9DEE5"/>
            </w:tcBorders>
            <w:vAlign w:val="center"/>
          </w:tcPr>
          <w:p>
            <w:pPr>
              <w:keepLines/>
            </w:pPr>
            <w:r>
              <w:rPr>
                <w:rFonts w:ascii="Carlito" w:hAnsi="Carlito" w:eastAsia="Carlito"/>
                <w:b w:val="0"/>
                <w:color w:val="40464D"/>
                <w:sz w:val="17"/>
              </w:rPr>
              <w:t>Fin septembre 2026</w:t>
            </w:r>
          </w:p>
        </w:tc>
        <w:tc>
          <w:tcPr>
            <w:tcW w:type="dxa" w:w="3024"/>
            <w:tcMar>
              <w:top w:w="85" w:type="dxa"/>
              <w:start w:w="80" w:type="dxa"/>
              <w:bottom w:w="85" w:type="dxa"/>
              <w:end w:w="80" w:type="dxa"/>
            </w:tcMar>
            <w:tcBorders>
              <w:bottom w:sz="2" w:val="single" w:color="D9DEE5"/>
            </w:tcBorders>
            <w:vAlign w:val="center"/>
          </w:tcPr>
          <w:p>
            <w:pPr>
              <w:keepLines/>
            </w:pPr>
            <w:r>
              <w:rPr>
                <w:rFonts w:ascii="Carlito" w:hAnsi="Carlito" w:eastAsia="Carlito"/>
                <w:b/>
                <w:color w:val="17365D"/>
                <w:sz w:val="17"/>
              </w:rPr>
              <w:t>Pilote / validation</w:t>
            </w:r>
          </w:p>
        </w:tc>
        <w:tc>
          <w:tcPr>
            <w:tcW w:type="dxa" w:w="4824"/>
            <w:tcMar>
              <w:top w:w="85" w:type="dxa"/>
              <w:start w:w="80" w:type="dxa"/>
              <w:bottom w:w="85" w:type="dxa"/>
              <w:end w:w="80" w:type="dxa"/>
            </w:tcMar>
            <w:tcBorders>
              <w:bottom w:sz="2" w:val="single" w:color="D9DEE5"/>
            </w:tcBorders>
            <w:vAlign w:val="center"/>
          </w:tcPr>
          <w:p>
            <w:pPr>
              <w:keepLines/>
            </w:pPr>
            <w:r>
              <w:rPr>
                <w:rFonts w:ascii="Carlito" w:hAnsi="Carlito" w:eastAsia="Carlito"/>
                <w:b w:val="0"/>
                <w:color w:val="40464D"/>
                <w:sz w:val="17"/>
              </w:rPr>
              <w:t>Retours initiaux, risques et contraintes consolidés pour le comité.</w:t>
            </w:r>
          </w:p>
        </w:tc>
      </w:tr>
      <w:tr>
        <w:trPr>
          <w:trHeight w:hRule="atLeast"/>
        </w:trPr>
        <w:tc>
          <w:tcPr>
            <w:tcW w:type="dxa" w:w="2232"/>
            <w:shd w:fill="FAFBFC"/>
            <w:tcMar>
              <w:top w:w="85" w:type="dxa"/>
              <w:start w:w="80" w:type="dxa"/>
              <w:bottom w:w="85" w:type="dxa"/>
              <w:end w:w="80" w:type="dxa"/>
            </w:tcMar>
            <w:tcBorders>
              <w:bottom w:sz="2" w:val="single" w:color="D9DEE5"/>
            </w:tcBorders>
            <w:vAlign w:val="center"/>
          </w:tcPr>
          <w:p>
            <w:pPr>
              <w:keepLines/>
            </w:pPr>
            <w:r>
              <w:rPr>
                <w:rFonts w:ascii="Carlito" w:hAnsi="Carlito" w:eastAsia="Carlito"/>
                <w:b w:val="0"/>
                <w:color w:val="40464D"/>
                <w:sz w:val="17"/>
              </w:rPr>
              <w:t>8 octobre 2026</w:t>
            </w:r>
          </w:p>
        </w:tc>
        <w:tc>
          <w:tcPr>
            <w:tcW w:type="dxa" w:w="3024"/>
            <w:shd w:fill="FAFBFC"/>
            <w:tcMar>
              <w:top w:w="85" w:type="dxa"/>
              <w:start w:w="80" w:type="dxa"/>
              <w:bottom w:w="85" w:type="dxa"/>
              <w:end w:w="80" w:type="dxa"/>
            </w:tcMar>
            <w:tcBorders>
              <w:bottom w:sz="2" w:val="single" w:color="D9DEE5"/>
            </w:tcBorders>
            <w:vAlign w:val="center"/>
          </w:tcPr>
          <w:p>
            <w:pPr>
              <w:keepLines/>
            </w:pPr>
            <w:r>
              <w:rPr>
                <w:rFonts w:ascii="Carlito" w:hAnsi="Carlito" w:eastAsia="Carlito"/>
                <w:b/>
                <w:color w:val="17365D"/>
                <w:sz w:val="17"/>
              </w:rPr>
              <w:t>Revue de préparation</w:t>
            </w:r>
          </w:p>
        </w:tc>
        <w:tc>
          <w:tcPr>
            <w:tcW w:type="dxa" w:w="4824"/>
            <w:shd w:fill="FAFBFC"/>
            <w:tcMar>
              <w:top w:w="85" w:type="dxa"/>
              <w:start w:w="80" w:type="dxa"/>
              <w:bottom w:w="85" w:type="dxa"/>
              <w:end w:w="80" w:type="dxa"/>
            </w:tcMar>
            <w:tcBorders>
              <w:bottom w:sz="2" w:val="single" w:color="D9DEE5"/>
            </w:tcBorders>
            <w:vAlign w:val="center"/>
          </w:tcPr>
          <w:p>
            <w:pPr>
              <w:keepLines/>
            </w:pPr>
            <w:r>
              <w:rPr>
                <w:rFonts w:ascii="Carlito" w:hAnsi="Carlito" w:eastAsia="Carlito"/>
                <w:b w:val="0"/>
                <w:color w:val="40464D"/>
                <w:sz w:val="17"/>
              </w:rPr>
              <w:t>Décision de lancement ou ajustement du scénario.</w:t>
            </w:r>
          </w:p>
        </w:tc>
      </w:tr>
      <w:tr>
        <w:trPr>
          <w:trHeight w:hRule="atLeast"/>
        </w:trPr>
        <w:tc>
          <w:tcPr>
            <w:tcW w:type="dxa" w:w="2232"/>
            <w:tcMar>
              <w:top w:w="85" w:type="dxa"/>
              <w:start w:w="80" w:type="dxa"/>
              <w:bottom w:w="85" w:type="dxa"/>
              <w:end w:w="80" w:type="dxa"/>
            </w:tcMar>
            <w:tcBorders>
              <w:bottom w:sz="2" w:val="single" w:color="D9DEE5"/>
            </w:tcBorders>
            <w:vAlign w:val="center"/>
          </w:tcPr>
          <w:p>
            <w:pPr>
              <w:keepLines/>
            </w:pPr>
            <w:r>
              <w:rPr>
                <w:rFonts w:ascii="Carlito" w:hAnsi="Carlito" w:eastAsia="Carlito"/>
                <w:b w:val="0"/>
                <w:color w:val="40464D"/>
                <w:sz w:val="17"/>
              </w:rPr>
              <w:t>15 octobre 2026</w:t>
            </w:r>
          </w:p>
        </w:tc>
        <w:tc>
          <w:tcPr>
            <w:tcW w:type="dxa" w:w="3024"/>
            <w:tcMar>
              <w:top w:w="85" w:type="dxa"/>
              <w:start w:w="80" w:type="dxa"/>
              <w:bottom w:w="85" w:type="dxa"/>
              <w:end w:w="80" w:type="dxa"/>
            </w:tcMar>
            <w:tcBorders>
              <w:bottom w:sz="2" w:val="single" w:color="D9DEE5"/>
            </w:tcBorders>
            <w:vAlign w:val="center"/>
          </w:tcPr>
          <w:p>
            <w:pPr>
              <w:keepLines/>
            </w:pPr>
            <w:r>
              <w:rPr>
                <w:rFonts w:ascii="Carlito" w:hAnsi="Carlito" w:eastAsia="Carlito"/>
                <w:b/>
                <w:color w:val="17365D"/>
                <w:sz w:val="17"/>
              </w:rPr>
              <w:t>Lancement cible</w:t>
            </w:r>
          </w:p>
        </w:tc>
        <w:tc>
          <w:tcPr>
            <w:tcW w:type="dxa" w:w="4824"/>
            <w:tcMar>
              <w:top w:w="85" w:type="dxa"/>
              <w:start w:w="80" w:type="dxa"/>
              <w:bottom w:w="85" w:type="dxa"/>
              <w:end w:w="80" w:type="dxa"/>
            </w:tcMar>
            <w:tcBorders>
              <w:bottom w:sz="2" w:val="single" w:color="D9DEE5"/>
            </w:tcBorders>
            <w:vAlign w:val="center"/>
          </w:tcPr>
          <w:p>
            <w:pPr>
              <w:keepLines/>
            </w:pPr>
            <w:r>
              <w:rPr>
                <w:rFonts w:ascii="Carlito" w:hAnsi="Carlito" w:eastAsia="Carlito"/>
                <w:b w:val="0"/>
                <w:color w:val="40464D"/>
                <w:sz w:val="17"/>
              </w:rPr>
              <w:t>Ouverture du programme à la population approuvée, sous réserve des validations requises.</w:t>
            </w:r>
          </w:p>
        </w:tc>
      </w:tr>
    </w:tbl>
    <w:tbl>
      <w:tblPr>
        <w:tblW w:type="auto" w:w="0"/>
        <w:jc w:val="center"/>
        <w:tblLayout w:type="autofit"/>
        <w:tblLook w:firstColumn="1" w:firstRow="1" w:lastColumn="0" w:lastRow="0" w:noHBand="0" w:noVBand="1" w:val="04A0"/>
      </w:tblPr>
      <w:tblGrid>
        <w:gridCol w:w="10166"/>
      </w:tblGrid>
      <w:tr>
        <w:trPr>
          <w:trHeight w:hRule="atLeast"/>
        </w:trPr>
        <w:tc>
          <w:tcPr>
            <w:tcW w:type="dxa" w:w="10166"/>
            <w:shd w:fill="FFF4E5"/>
            <w:tcBorders>
              <w:top w:sz="2" w:val="single" w:color="FFF4E5"/>
              <w:left w:sz="18" w:val="single" w:color="B7791F"/>
              <w:bottom w:sz="2" w:val="single" w:color="FFF4E5"/>
              <w:right w:sz="2" w:val="single" w:color="FFF4E5"/>
            </w:tcBorders>
            <w:tcMar>
              <w:top w:w="120" w:type="dxa"/>
              <w:start w:w="140" w:type="dxa"/>
              <w:bottom w:w="120" w:type="dxa"/>
              <w:end w:w="140" w:type="dxa"/>
            </w:tcMar>
            <w:vAlign w:val="center"/>
          </w:tcPr>
          <w:p>
            <w:pPr>
              <w:keepLines/>
              <w:spacing w:after="60"/>
            </w:pPr>
            <w:r>
              <w:rPr>
                <w:rFonts w:ascii="Carlito" w:hAnsi="Carlito" w:eastAsia="Carlito"/>
                <w:b/>
                <w:color w:val="17365D"/>
                <w:sz w:val="21"/>
              </w:rPr>
              <w:t>POINT D’ATTENTION</w:t>
            </w:r>
          </w:p>
          <w:p>
            <w:pPr>
              <w:keepLines/>
              <w:spacing w:after="0"/>
            </w:pPr>
            <w:r>
              <w:rPr>
                <w:rFonts w:ascii="Carlito" w:hAnsi="Carlito" w:eastAsia="Carlito"/>
                <w:sz w:val="20"/>
              </w:rPr>
              <w:t>La date du 15 octobre 2026 est une cible de lancement de la présente charte. Elle demeure conditionnelle à la préparation opérationnelle, aux validations financières et aux exigences juridiques / de conformité.</w:t>
            </w:r>
          </w:p>
        </w:tc>
      </w:tr>
    </w:tbl>
    <w:p>
      <w:pPr>
        <w:spacing w:after="20"/>
      </w:pPr>
    </w:p>
    <w:p>
      <w:r>
        <w:br w:type="page"/>
      </w:r>
    </w:p>
    <w:p>
      <w:pPr>
        <w:pStyle w:val="Heading1"/>
        <w:keepNext/>
      </w:pPr>
      <w:r>
        <w:t>8. Cadre budgétaire</w:t>
      </w:r>
    </w:p>
    <w:p>
      <w:pPr>
        <w:spacing w:after="120" w:line="259" w:lineRule="auto"/>
      </w:pPr>
      <w:r>
        <w:t>Une enveloppe initiale de 120 000 $ CAD est retenue pour cadrer les activités du Projet Atlas. Cette enveloppe constitue une base de planification et ne doit pas être interprétée comme un budget consolidé définitif tant que les travaux de chiffrage et de validation financière ne sont pas terminés.</w:t>
      </w:r>
    </w:p>
    <w:tbl>
      <w:tblPr>
        <w:tblW w:type="auto" w:w="0"/>
        <w:jc w:val="center"/>
        <w:tblLayout w:type="fixed"/>
        <w:tblLook w:firstColumn="1" w:firstRow="1" w:lastColumn="0" w:lastRow="0" w:noHBand="0" w:noVBand="1" w:val="04A0"/>
      </w:tblPr>
      <w:tblGrid>
        <w:gridCol w:w="3240"/>
        <w:gridCol w:w="2880"/>
        <w:gridCol w:w="3960"/>
      </w:tblGrid>
      <w:tr>
        <w:trPr>
          <w:trHeight w:hRule="atLeast"/>
          <w:tblHeader w:val="true"/>
        </w:trPr>
        <w:tc>
          <w:tcPr>
            <w:tcW w:type="dxa" w:w="3389"/>
            <w:shd w:fill="17365D"/>
            <w:tcMar>
              <w:top w:w="95" w:type="dxa"/>
              <w:start w:w="90" w:type="dxa"/>
              <w:bottom w:w="95" w:type="dxa"/>
              <w:end w:w="90" w:type="dxa"/>
            </w:tcMar>
            <w:vAlign w:val="center"/>
          </w:tcPr>
          <w:p>
            <w:pPr>
              <w:keepLines/>
            </w:pPr>
            <w:r>
              <w:rPr>
                <w:rFonts w:ascii="Carlito" w:hAnsi="Carlito" w:eastAsia="Carlito"/>
                <w:b/>
                <w:color w:val="FFFFFF"/>
                <w:sz w:val="18"/>
              </w:rPr>
              <w:t>Catégorie</w:t>
            </w:r>
          </w:p>
        </w:tc>
        <w:tc>
          <w:tcPr>
            <w:tcW w:type="dxa" w:w="3389"/>
            <w:shd w:fill="17365D"/>
            <w:tcMar>
              <w:top w:w="95" w:type="dxa"/>
              <w:start w:w="90" w:type="dxa"/>
              <w:bottom w:w="95" w:type="dxa"/>
              <w:end w:w="90" w:type="dxa"/>
            </w:tcMar>
            <w:vAlign w:val="center"/>
          </w:tcPr>
          <w:p>
            <w:pPr>
              <w:keepLines/>
            </w:pPr>
            <w:r>
              <w:rPr>
                <w:rFonts w:ascii="Carlito" w:hAnsi="Carlito" w:eastAsia="Carlito"/>
                <w:b/>
                <w:color w:val="FFFFFF"/>
                <w:sz w:val="18"/>
              </w:rPr>
              <w:t>Traitement dans la charte</w:t>
            </w:r>
          </w:p>
        </w:tc>
        <w:tc>
          <w:tcPr>
            <w:tcW w:type="dxa" w:w="3389"/>
            <w:shd w:fill="17365D"/>
            <w:tcMar>
              <w:top w:w="95" w:type="dxa"/>
              <w:start w:w="90" w:type="dxa"/>
              <w:bottom w:w="95" w:type="dxa"/>
              <w:end w:w="90" w:type="dxa"/>
            </w:tcMar>
            <w:vAlign w:val="center"/>
          </w:tcPr>
          <w:p>
            <w:pPr>
              <w:keepLines/>
            </w:pPr>
            <w:r>
              <w:rPr>
                <w:rFonts w:ascii="Carlito" w:hAnsi="Carlito" w:eastAsia="Carlito"/>
                <w:b/>
                <w:color w:val="FFFFFF"/>
                <w:sz w:val="18"/>
              </w:rPr>
              <w:t>Statut au 7 juillet 2026</w:t>
            </w:r>
          </w:p>
        </w:tc>
      </w:tr>
      <w:tr>
        <w:trPr>
          <w:trHeight w:hRule="atLeast"/>
        </w:trPr>
        <w:tc>
          <w:tcPr>
            <w:tcW w:type="dxa" w:w="3240"/>
            <w:tcMar>
              <w:top w:w="85" w:type="dxa"/>
              <w:start w:w="80" w:type="dxa"/>
              <w:bottom w:w="85" w:type="dxa"/>
              <w:end w:w="80" w:type="dxa"/>
            </w:tcMar>
            <w:tcBorders>
              <w:bottom w:sz="2" w:val="single" w:color="D9DEE5"/>
            </w:tcBorders>
            <w:vAlign w:val="center"/>
          </w:tcPr>
          <w:p>
            <w:pPr>
              <w:keepLines/>
            </w:pPr>
            <w:r>
              <w:rPr>
                <w:rFonts w:ascii="Carlito" w:hAnsi="Carlito" w:eastAsia="Carlito"/>
                <w:b/>
                <w:color w:val="17365D"/>
                <w:sz w:val="17"/>
              </w:rPr>
              <w:t>Formation et adoption</w:t>
            </w:r>
          </w:p>
        </w:tc>
        <w:tc>
          <w:tcPr>
            <w:tcW w:type="dxa" w:w="2880"/>
            <w:tcMar>
              <w:top w:w="85" w:type="dxa"/>
              <w:start w:w="80" w:type="dxa"/>
              <w:bottom w:w="85" w:type="dxa"/>
              <w:end w:w="80" w:type="dxa"/>
            </w:tcMar>
            <w:tcBorders>
              <w:bottom w:sz="2" w:val="single" w:color="D9DEE5"/>
            </w:tcBorders>
            <w:vAlign w:val="center"/>
          </w:tcPr>
          <w:p>
            <w:pPr>
              <w:keepLines/>
            </w:pPr>
            <w:r>
              <w:rPr>
                <w:rFonts w:ascii="Carlito" w:hAnsi="Carlito" w:eastAsia="Carlito"/>
                <w:b w:val="0"/>
                <w:color w:val="40464D"/>
                <w:sz w:val="17"/>
              </w:rPr>
              <w:t>Incluse dans l’enveloppe initiale</w:t>
            </w:r>
          </w:p>
        </w:tc>
        <w:tc>
          <w:tcPr>
            <w:tcW w:type="dxa" w:w="3960"/>
            <w:tcMar>
              <w:top w:w="85" w:type="dxa"/>
              <w:start w:w="80" w:type="dxa"/>
              <w:bottom w:w="85" w:type="dxa"/>
              <w:end w:w="80" w:type="dxa"/>
            </w:tcMar>
            <w:tcBorders>
              <w:bottom w:sz="2" w:val="single" w:color="D9DEE5"/>
            </w:tcBorders>
            <w:vAlign w:val="center"/>
          </w:tcPr>
          <w:p>
            <w:pPr>
              <w:keepLines/>
            </w:pPr>
            <w:r>
              <w:rPr>
                <w:rFonts w:ascii="Carlito" w:hAnsi="Carlito" w:eastAsia="Carlito"/>
                <w:b w:val="0"/>
                <w:color w:val="40464D"/>
                <w:sz w:val="17"/>
              </w:rPr>
              <w:t>À détailler</w:t>
            </w:r>
          </w:p>
        </w:tc>
      </w:tr>
      <w:tr>
        <w:trPr>
          <w:trHeight w:hRule="atLeast"/>
        </w:trPr>
        <w:tc>
          <w:tcPr>
            <w:tcW w:type="dxa" w:w="3240"/>
            <w:shd w:fill="FAFBFC"/>
            <w:tcMar>
              <w:top w:w="85" w:type="dxa"/>
              <w:start w:w="80" w:type="dxa"/>
              <w:bottom w:w="85" w:type="dxa"/>
              <w:end w:w="80" w:type="dxa"/>
            </w:tcMar>
            <w:tcBorders>
              <w:bottom w:sz="2" w:val="single" w:color="D9DEE5"/>
            </w:tcBorders>
            <w:vAlign w:val="center"/>
          </w:tcPr>
          <w:p>
            <w:pPr>
              <w:keepLines/>
            </w:pPr>
            <w:r>
              <w:rPr>
                <w:rFonts w:ascii="Carlito" w:hAnsi="Carlito" w:eastAsia="Carlito"/>
                <w:b/>
                <w:color w:val="17365D"/>
                <w:sz w:val="17"/>
              </w:rPr>
              <w:t>Soutien et accompagnement</w:t>
            </w:r>
          </w:p>
        </w:tc>
        <w:tc>
          <w:tcPr>
            <w:tcW w:type="dxa" w:w="2880"/>
            <w:shd w:fill="FAFBFC"/>
            <w:tcMar>
              <w:top w:w="85" w:type="dxa"/>
              <w:start w:w="80" w:type="dxa"/>
              <w:bottom w:w="85" w:type="dxa"/>
              <w:end w:w="80" w:type="dxa"/>
            </w:tcMar>
            <w:tcBorders>
              <w:bottom w:sz="2" w:val="single" w:color="D9DEE5"/>
            </w:tcBorders>
            <w:vAlign w:val="center"/>
          </w:tcPr>
          <w:p>
            <w:pPr>
              <w:keepLines/>
            </w:pPr>
            <w:r>
              <w:rPr>
                <w:rFonts w:ascii="Carlito" w:hAnsi="Carlito" w:eastAsia="Carlito"/>
                <w:b w:val="0"/>
                <w:color w:val="40464D"/>
                <w:sz w:val="17"/>
              </w:rPr>
              <w:t>Incluse dans l’enveloppe initiale</w:t>
            </w:r>
          </w:p>
        </w:tc>
        <w:tc>
          <w:tcPr>
            <w:tcW w:type="dxa" w:w="3960"/>
            <w:shd w:fill="FAFBFC"/>
            <w:tcMar>
              <w:top w:w="85" w:type="dxa"/>
              <w:start w:w="80" w:type="dxa"/>
              <w:bottom w:w="85" w:type="dxa"/>
              <w:end w:w="80" w:type="dxa"/>
            </w:tcMar>
            <w:tcBorders>
              <w:bottom w:sz="2" w:val="single" w:color="D9DEE5"/>
            </w:tcBorders>
            <w:vAlign w:val="center"/>
          </w:tcPr>
          <w:p>
            <w:pPr>
              <w:keepLines/>
            </w:pPr>
            <w:r>
              <w:rPr>
                <w:rFonts w:ascii="Carlito" w:hAnsi="Carlito" w:eastAsia="Carlito"/>
                <w:b w:val="0"/>
                <w:color w:val="40464D"/>
                <w:sz w:val="17"/>
              </w:rPr>
              <w:t>À détailler</w:t>
            </w:r>
          </w:p>
        </w:tc>
      </w:tr>
      <w:tr>
        <w:trPr>
          <w:trHeight w:hRule="atLeast"/>
        </w:trPr>
        <w:tc>
          <w:tcPr>
            <w:tcW w:type="dxa" w:w="3240"/>
            <w:tcMar>
              <w:top w:w="85" w:type="dxa"/>
              <w:start w:w="80" w:type="dxa"/>
              <w:bottom w:w="85" w:type="dxa"/>
              <w:end w:w="80" w:type="dxa"/>
            </w:tcMar>
            <w:tcBorders>
              <w:bottom w:sz="2" w:val="single" w:color="D9DEE5"/>
            </w:tcBorders>
            <w:vAlign w:val="center"/>
          </w:tcPr>
          <w:p>
            <w:pPr>
              <w:keepLines/>
            </w:pPr>
            <w:r>
              <w:rPr>
                <w:rFonts w:ascii="Carlito" w:hAnsi="Carlito" w:eastAsia="Carlito"/>
                <w:b/>
                <w:color w:val="17365D"/>
                <w:sz w:val="17"/>
              </w:rPr>
              <w:t>Communication et événements</w:t>
            </w:r>
          </w:p>
        </w:tc>
        <w:tc>
          <w:tcPr>
            <w:tcW w:type="dxa" w:w="2880"/>
            <w:tcMar>
              <w:top w:w="85" w:type="dxa"/>
              <w:start w:w="80" w:type="dxa"/>
              <w:bottom w:w="85" w:type="dxa"/>
              <w:end w:w="80" w:type="dxa"/>
            </w:tcMar>
            <w:tcBorders>
              <w:bottom w:sz="2" w:val="single" w:color="D9DEE5"/>
            </w:tcBorders>
            <w:vAlign w:val="center"/>
          </w:tcPr>
          <w:p>
            <w:pPr>
              <w:keepLines/>
            </w:pPr>
            <w:r>
              <w:rPr>
                <w:rFonts w:ascii="Carlito" w:hAnsi="Carlito" w:eastAsia="Carlito"/>
                <w:b w:val="0"/>
                <w:color w:val="40464D"/>
                <w:sz w:val="17"/>
              </w:rPr>
              <w:t>Incluse dans l’enveloppe initiale</w:t>
            </w:r>
          </w:p>
        </w:tc>
        <w:tc>
          <w:tcPr>
            <w:tcW w:type="dxa" w:w="3960"/>
            <w:tcMar>
              <w:top w:w="85" w:type="dxa"/>
              <w:start w:w="80" w:type="dxa"/>
              <w:bottom w:w="85" w:type="dxa"/>
              <w:end w:w="80" w:type="dxa"/>
            </w:tcMar>
            <w:tcBorders>
              <w:bottom w:sz="2" w:val="single" w:color="D9DEE5"/>
            </w:tcBorders>
            <w:vAlign w:val="center"/>
          </w:tcPr>
          <w:p>
            <w:pPr>
              <w:keepLines/>
            </w:pPr>
            <w:r>
              <w:rPr>
                <w:rFonts w:ascii="Carlito" w:hAnsi="Carlito" w:eastAsia="Carlito"/>
                <w:b w:val="0"/>
                <w:color w:val="40464D"/>
                <w:sz w:val="17"/>
              </w:rPr>
              <w:t>À détailler</w:t>
            </w:r>
          </w:p>
        </w:tc>
      </w:tr>
      <w:tr>
        <w:trPr>
          <w:trHeight w:hRule="atLeast"/>
        </w:trPr>
        <w:tc>
          <w:tcPr>
            <w:tcW w:type="dxa" w:w="3240"/>
            <w:shd w:fill="FAFBFC"/>
            <w:tcMar>
              <w:top w:w="85" w:type="dxa"/>
              <w:start w:w="80" w:type="dxa"/>
              <w:bottom w:w="85" w:type="dxa"/>
              <w:end w:w="80" w:type="dxa"/>
            </w:tcMar>
            <w:tcBorders>
              <w:bottom w:sz="2" w:val="single" w:color="D9DEE5"/>
            </w:tcBorders>
            <w:vAlign w:val="center"/>
          </w:tcPr>
          <w:p>
            <w:pPr>
              <w:keepLines/>
            </w:pPr>
            <w:r>
              <w:rPr>
                <w:rFonts w:ascii="Carlito" w:hAnsi="Carlito" w:eastAsia="Carlito"/>
                <w:b/>
                <w:color w:val="17365D"/>
                <w:sz w:val="17"/>
              </w:rPr>
              <w:t>Réserve de projet</w:t>
            </w:r>
          </w:p>
        </w:tc>
        <w:tc>
          <w:tcPr>
            <w:tcW w:type="dxa" w:w="2880"/>
            <w:shd w:fill="FAFBFC"/>
            <w:tcMar>
              <w:top w:w="85" w:type="dxa"/>
              <w:start w:w="80" w:type="dxa"/>
              <w:bottom w:w="85" w:type="dxa"/>
              <w:end w:w="80" w:type="dxa"/>
            </w:tcMar>
            <w:tcBorders>
              <w:bottom w:sz="2" w:val="single" w:color="D9DEE5"/>
            </w:tcBorders>
            <w:vAlign w:val="center"/>
          </w:tcPr>
          <w:p>
            <w:pPr>
              <w:keepLines/>
            </w:pPr>
            <w:r>
              <w:rPr>
                <w:rFonts w:ascii="Carlito" w:hAnsi="Carlito" w:eastAsia="Carlito"/>
                <w:b w:val="0"/>
                <w:color w:val="40464D"/>
                <w:sz w:val="17"/>
              </w:rPr>
              <w:t>Incluse dans l’enveloppe initiale</w:t>
            </w:r>
          </w:p>
        </w:tc>
        <w:tc>
          <w:tcPr>
            <w:tcW w:type="dxa" w:w="3960"/>
            <w:shd w:fill="FAFBFC"/>
            <w:tcMar>
              <w:top w:w="85" w:type="dxa"/>
              <w:start w:w="80" w:type="dxa"/>
              <w:bottom w:w="85" w:type="dxa"/>
              <w:end w:w="80" w:type="dxa"/>
            </w:tcMar>
            <w:tcBorders>
              <w:bottom w:sz="2" w:val="single" w:color="D9DEE5"/>
            </w:tcBorders>
            <w:vAlign w:val="center"/>
          </w:tcPr>
          <w:p>
            <w:pPr>
              <w:keepLines/>
            </w:pPr>
            <w:r>
              <w:rPr>
                <w:rFonts w:ascii="Carlito" w:hAnsi="Carlito" w:eastAsia="Carlito"/>
                <w:b w:val="0"/>
                <w:color w:val="40464D"/>
                <w:sz w:val="17"/>
              </w:rPr>
              <w:t>À détailler</w:t>
            </w:r>
          </w:p>
        </w:tc>
      </w:tr>
      <w:tr>
        <w:trPr>
          <w:trHeight w:hRule="atLeast"/>
        </w:trPr>
        <w:tc>
          <w:tcPr>
            <w:tcW w:type="dxa" w:w="3240"/>
            <w:tcMar>
              <w:top w:w="85" w:type="dxa"/>
              <w:start w:w="80" w:type="dxa"/>
              <w:bottom w:w="85" w:type="dxa"/>
              <w:end w:w="80" w:type="dxa"/>
            </w:tcMar>
            <w:tcBorders>
              <w:bottom w:sz="2" w:val="single" w:color="D9DEE5"/>
            </w:tcBorders>
            <w:vAlign w:val="center"/>
          </w:tcPr>
          <w:p>
            <w:pPr>
              <w:keepLines/>
            </w:pPr>
            <w:r>
              <w:rPr>
                <w:rFonts w:ascii="Carlito" w:hAnsi="Carlito" w:eastAsia="Carlito"/>
                <w:b/>
                <w:color w:val="17365D"/>
                <w:sz w:val="17"/>
              </w:rPr>
              <w:t>Licences Microsoft 365 Copilot</w:t>
            </w:r>
          </w:p>
        </w:tc>
        <w:tc>
          <w:tcPr>
            <w:tcW w:type="dxa" w:w="2880"/>
            <w:tcMar>
              <w:top w:w="85" w:type="dxa"/>
              <w:start w:w="80" w:type="dxa"/>
              <w:bottom w:w="85" w:type="dxa"/>
              <w:end w:w="80" w:type="dxa"/>
            </w:tcMar>
            <w:tcBorders>
              <w:bottom w:sz="2" w:val="single" w:color="D9DEE5"/>
            </w:tcBorders>
            <w:vAlign w:val="center"/>
          </w:tcPr>
          <w:p>
            <w:pPr>
              <w:keepLines/>
            </w:pPr>
            <w:r>
              <w:rPr>
                <w:rFonts w:ascii="Carlito" w:hAnsi="Carlito" w:eastAsia="Carlito"/>
                <w:b w:val="0"/>
                <w:color w:val="40464D"/>
                <w:sz w:val="17"/>
              </w:rPr>
              <w:t>Non engagées dans la présente charte</w:t>
            </w:r>
          </w:p>
        </w:tc>
        <w:tc>
          <w:tcPr>
            <w:tcW w:type="dxa" w:w="3960"/>
            <w:tcMar>
              <w:top w:w="85" w:type="dxa"/>
              <w:start w:w="80" w:type="dxa"/>
              <w:bottom w:w="85" w:type="dxa"/>
              <w:end w:w="80" w:type="dxa"/>
            </w:tcMar>
            <w:tcBorders>
              <w:bottom w:sz="2" w:val="single" w:color="D9DEE5"/>
            </w:tcBorders>
            <w:vAlign w:val="center"/>
          </w:tcPr>
          <w:p>
            <w:pPr>
              <w:keepLines/>
            </w:pPr>
            <w:r>
              <w:rPr>
                <w:rFonts w:ascii="Carlito" w:hAnsi="Carlito" w:eastAsia="Carlito"/>
                <w:b w:val="0"/>
                <w:color w:val="40464D"/>
                <w:sz w:val="17"/>
              </w:rPr>
              <w:t>Coûts et financement à confirmer</w:t>
            </w:r>
          </w:p>
        </w:tc>
      </w:tr>
      <w:tr>
        <w:trPr>
          <w:trHeight w:hRule="atLeast"/>
        </w:trPr>
        <w:tc>
          <w:tcPr>
            <w:tcW w:type="dxa" w:w="3240"/>
            <w:shd w:fill="FAFBFC"/>
            <w:tcMar>
              <w:top w:w="85" w:type="dxa"/>
              <w:start w:w="80" w:type="dxa"/>
              <w:bottom w:w="85" w:type="dxa"/>
              <w:end w:w="80" w:type="dxa"/>
            </w:tcMar>
            <w:tcBorders>
              <w:bottom w:sz="2" w:val="single" w:color="D9DEE5"/>
            </w:tcBorders>
            <w:vAlign w:val="center"/>
          </w:tcPr>
          <w:p>
            <w:pPr>
              <w:keepLines/>
            </w:pPr>
            <w:r>
              <w:rPr>
                <w:rFonts w:ascii="Carlito" w:hAnsi="Carlito" w:eastAsia="Carlito"/>
                <w:b/>
                <w:color w:val="17365D"/>
                <w:sz w:val="17"/>
              </w:rPr>
              <w:t>Services additionnels / intégrations</w:t>
            </w:r>
          </w:p>
        </w:tc>
        <w:tc>
          <w:tcPr>
            <w:tcW w:type="dxa" w:w="2880"/>
            <w:shd w:fill="FAFBFC"/>
            <w:tcMar>
              <w:top w:w="85" w:type="dxa"/>
              <w:start w:w="80" w:type="dxa"/>
              <w:bottom w:w="85" w:type="dxa"/>
              <w:end w:w="80" w:type="dxa"/>
            </w:tcMar>
            <w:tcBorders>
              <w:bottom w:sz="2" w:val="single" w:color="D9DEE5"/>
            </w:tcBorders>
            <w:vAlign w:val="center"/>
          </w:tcPr>
          <w:p>
            <w:pPr>
              <w:keepLines/>
            </w:pPr>
            <w:r>
              <w:rPr>
                <w:rFonts w:ascii="Carlito" w:hAnsi="Carlito" w:eastAsia="Carlito"/>
                <w:b w:val="0"/>
                <w:color w:val="40464D"/>
                <w:sz w:val="17"/>
              </w:rPr>
              <w:t>Hors périmètre initial sauf décision contraire</w:t>
            </w:r>
          </w:p>
        </w:tc>
        <w:tc>
          <w:tcPr>
            <w:tcW w:type="dxa" w:w="3960"/>
            <w:shd w:fill="FAFBFC"/>
            <w:tcMar>
              <w:top w:w="85" w:type="dxa"/>
              <w:start w:w="80" w:type="dxa"/>
              <w:bottom w:w="85" w:type="dxa"/>
              <w:end w:w="80" w:type="dxa"/>
            </w:tcMar>
            <w:tcBorders>
              <w:bottom w:sz="2" w:val="single" w:color="D9DEE5"/>
            </w:tcBorders>
            <w:vAlign w:val="center"/>
          </w:tcPr>
          <w:p>
            <w:pPr>
              <w:keepLines/>
            </w:pPr>
            <w:r>
              <w:rPr>
                <w:rFonts w:ascii="Carlito" w:hAnsi="Carlito" w:eastAsia="Carlito"/>
                <w:b w:val="0"/>
                <w:color w:val="40464D"/>
                <w:sz w:val="17"/>
              </w:rPr>
              <w:t>À évaluer au besoin</w:t>
            </w:r>
          </w:p>
        </w:tc>
      </w:tr>
    </w:tbl>
    <w:tbl>
      <w:tblPr>
        <w:tblW w:type="auto" w:w="0"/>
        <w:jc w:val="center"/>
        <w:tblLayout w:type="autofit"/>
        <w:tblLook w:firstColumn="1" w:firstRow="1" w:lastColumn="0" w:lastRow="0" w:noHBand="0" w:noVBand="1" w:val="04A0"/>
      </w:tblPr>
      <w:tblGrid>
        <w:gridCol w:w="10166"/>
      </w:tblGrid>
      <w:tr>
        <w:trPr>
          <w:trHeight w:hRule="atLeast"/>
        </w:trPr>
        <w:tc>
          <w:tcPr>
            <w:tcW w:type="dxa" w:w="10166"/>
            <w:shd w:fill="D9EAF7"/>
            <w:tcBorders>
              <w:top w:sz="2" w:val="single" w:color="D9EAF7"/>
              <w:left w:sz="18" w:val="single" w:color="2F75B5"/>
              <w:bottom w:sz="2" w:val="single" w:color="D9EAF7"/>
              <w:right w:sz="2" w:val="single" w:color="D9EAF7"/>
            </w:tcBorders>
            <w:tcMar>
              <w:top w:w="120" w:type="dxa"/>
              <w:start w:w="140" w:type="dxa"/>
              <w:bottom w:w="120" w:type="dxa"/>
              <w:end w:w="140" w:type="dxa"/>
            </w:tcMar>
            <w:vAlign w:val="center"/>
          </w:tcPr>
          <w:p>
            <w:pPr>
              <w:keepLines/>
              <w:spacing w:after="60"/>
            </w:pPr>
            <w:r>
              <w:rPr>
                <w:rFonts w:ascii="Carlito" w:hAnsi="Carlito" w:eastAsia="Carlito"/>
                <w:b/>
                <w:color w:val="17365D"/>
                <w:sz w:val="21"/>
              </w:rPr>
              <w:t>ENVELOPPE DE CADRAGE</w:t>
            </w:r>
          </w:p>
          <w:p>
            <w:pPr>
              <w:keepLines/>
              <w:spacing w:after="0"/>
            </w:pPr>
            <w:r>
              <w:rPr>
                <w:rFonts w:ascii="Carlito" w:hAnsi="Carlito" w:eastAsia="Carlito"/>
                <w:sz w:val="20"/>
              </w:rPr>
              <w:t>120 000 $ CAD — valeur de référence de la charte v1.0. Les dépenses détaillées et les coûts de licences feront l’objet de documents financiers distincts et de validations séparées.</w:t>
            </w:r>
          </w:p>
        </w:tc>
      </w:tr>
    </w:tbl>
    <w:p>
      <w:pPr>
        <w:spacing w:after="20"/>
      </w:pPr>
    </w:p>
    <w:p>
      <w:pPr>
        <w:pStyle w:val="Heading2"/>
        <w:keepNext/>
      </w:pPr>
      <w:r>
        <w:t>8.1 Principes de gestion</w:t>
      </w:r>
    </w:p>
    <w:p>
      <w:pPr>
        <w:pStyle w:val="ListBullet"/>
        <w:keepLines/>
        <w:spacing w:after="40"/>
      </w:pPr>
      <w:r>
        <w:t>Aucun montant détaillé ne doit être considéré comme approuvé avant validation de la fonction Finance compétente.</w:t>
      </w:r>
    </w:p>
    <w:p>
      <w:pPr>
        <w:pStyle w:val="ListBullet"/>
        <w:keepLines/>
        <w:spacing w:after="40"/>
      </w:pPr>
      <w:r>
        <w:t>Les coûts de licences doivent être confirmés avant toute décision d’engagement ou de déploiement.</w:t>
      </w:r>
    </w:p>
    <w:p>
      <w:pPr>
        <w:pStyle w:val="ListBullet"/>
        <w:keepLines/>
        <w:spacing w:after="40"/>
      </w:pPr>
      <w:r>
        <w:t>Tout dépassement ou changement significatif d’hypothèse doit être présenté au comité de lancement ou à l’instance de gouvernance appropriée.</w:t>
      </w:r>
    </w:p>
    <w:p>
      <w:pPr>
        <w:pStyle w:val="ListBullet"/>
        <w:keepLines/>
        <w:spacing w:after="40"/>
      </w:pPr>
      <w:r>
        <w:t>Les documents budgétaires de travail peuvent évoluer sans modifier automatiquement la valeur de référence inscrite dans la présente charte.</w:t>
      </w:r>
    </w:p>
    <w:p>
      <w:pPr>
        <w:pStyle w:val="Heading1"/>
        <w:keepNext/>
      </w:pPr>
      <w:r>
        <w:t>9. Critères de succès</w:t>
      </w:r>
    </w:p>
    <w:tbl>
      <w:tblPr>
        <w:tblW w:type="auto" w:w="0"/>
        <w:jc w:val="center"/>
        <w:tblLayout w:type="fixed"/>
        <w:tblLook w:firstColumn="1" w:firstRow="1" w:lastColumn="0" w:lastRow="0" w:noHBand="0" w:noVBand="1" w:val="04A0"/>
      </w:tblPr>
      <w:tblGrid>
        <w:gridCol w:w="3240"/>
        <w:gridCol w:w="3096"/>
        <w:gridCol w:w="3744"/>
      </w:tblGrid>
      <w:tr>
        <w:trPr>
          <w:trHeight w:hRule="atLeast"/>
          <w:tblHeader w:val="true"/>
        </w:trPr>
        <w:tc>
          <w:tcPr>
            <w:tcW w:type="dxa" w:w="3389"/>
            <w:shd w:fill="2E8B8B"/>
            <w:tcMar>
              <w:top w:w="95" w:type="dxa"/>
              <w:start w:w="90" w:type="dxa"/>
              <w:bottom w:w="95" w:type="dxa"/>
              <w:end w:w="90" w:type="dxa"/>
            </w:tcMar>
            <w:vAlign w:val="center"/>
          </w:tcPr>
          <w:p>
            <w:pPr>
              <w:keepLines/>
            </w:pPr>
            <w:r>
              <w:rPr>
                <w:rFonts w:ascii="Carlito" w:hAnsi="Carlito" w:eastAsia="Carlito"/>
                <w:b/>
                <w:color w:val="FFFFFF"/>
                <w:sz w:val="18"/>
              </w:rPr>
              <w:t>Indicateur</w:t>
            </w:r>
          </w:p>
        </w:tc>
        <w:tc>
          <w:tcPr>
            <w:tcW w:type="dxa" w:w="3389"/>
            <w:shd w:fill="2E8B8B"/>
            <w:tcMar>
              <w:top w:w="95" w:type="dxa"/>
              <w:start w:w="90" w:type="dxa"/>
              <w:bottom w:w="95" w:type="dxa"/>
              <w:end w:w="90" w:type="dxa"/>
            </w:tcMar>
            <w:vAlign w:val="center"/>
          </w:tcPr>
          <w:p>
            <w:pPr>
              <w:keepLines/>
            </w:pPr>
            <w:r>
              <w:rPr>
                <w:rFonts w:ascii="Carlito" w:hAnsi="Carlito" w:eastAsia="Carlito"/>
                <w:b/>
                <w:color w:val="FFFFFF"/>
                <w:sz w:val="18"/>
              </w:rPr>
              <w:t>Cible initiale</w:t>
            </w:r>
          </w:p>
        </w:tc>
        <w:tc>
          <w:tcPr>
            <w:tcW w:type="dxa" w:w="3389"/>
            <w:shd w:fill="2E8B8B"/>
            <w:tcMar>
              <w:top w:w="95" w:type="dxa"/>
              <w:start w:w="90" w:type="dxa"/>
              <w:bottom w:w="95" w:type="dxa"/>
              <w:end w:w="90" w:type="dxa"/>
            </w:tcMar>
            <w:vAlign w:val="center"/>
          </w:tcPr>
          <w:p>
            <w:pPr>
              <w:keepLines/>
            </w:pPr>
            <w:r>
              <w:rPr>
                <w:rFonts w:ascii="Carlito" w:hAnsi="Carlito" w:eastAsia="Carlito"/>
                <w:b/>
                <w:color w:val="FFFFFF"/>
                <w:sz w:val="18"/>
              </w:rPr>
              <w:t>Méthode / remarque</w:t>
            </w:r>
          </w:p>
        </w:tc>
      </w:tr>
      <w:tr>
        <w:trPr>
          <w:trHeight w:hRule="atLeast"/>
        </w:trPr>
        <w:tc>
          <w:tcPr>
            <w:tcW w:type="dxa" w:w="3240"/>
            <w:tcMar>
              <w:top w:w="80" w:type="dxa"/>
              <w:start w:w="80" w:type="dxa"/>
              <w:bottom w:w="80" w:type="dxa"/>
              <w:end w:w="80" w:type="dxa"/>
            </w:tcMar>
            <w:tcBorders>
              <w:bottom w:sz="2" w:val="single" w:color="D9DEE5"/>
            </w:tcBorders>
            <w:vAlign w:val="center"/>
          </w:tcPr>
          <w:p>
            <w:pPr>
              <w:keepLines/>
            </w:pPr>
            <w:r>
              <w:rPr>
                <w:rFonts w:ascii="Carlito" w:hAnsi="Carlito" w:eastAsia="Carlito"/>
                <w:b/>
                <w:color w:val="17365D"/>
                <w:sz w:val="17"/>
              </w:rPr>
              <w:t>Utilisation active</w:t>
            </w:r>
          </w:p>
        </w:tc>
        <w:tc>
          <w:tcPr>
            <w:tcW w:type="dxa" w:w="3096"/>
            <w:tcMar>
              <w:top w:w="80" w:type="dxa"/>
              <w:start w:w="80" w:type="dxa"/>
              <w:bottom w:w="80" w:type="dxa"/>
              <w:end w:w="80" w:type="dxa"/>
            </w:tcMar>
            <w:tcBorders>
              <w:bottom w:sz="2" w:val="single" w:color="D9DEE5"/>
            </w:tcBorders>
            <w:vAlign w:val="center"/>
          </w:tcPr>
          <w:p>
            <w:pPr>
              <w:keepLines/>
            </w:pPr>
            <w:r>
              <w:rPr>
                <w:rFonts w:ascii="Carlito" w:hAnsi="Carlito" w:eastAsia="Carlito"/>
                <w:b w:val="0"/>
                <w:color w:val="40464D"/>
                <w:sz w:val="17"/>
              </w:rPr>
              <w:t>70 % à 3 mois</w:t>
            </w:r>
          </w:p>
        </w:tc>
        <w:tc>
          <w:tcPr>
            <w:tcW w:type="dxa" w:w="3744"/>
            <w:tcMar>
              <w:top w:w="80" w:type="dxa"/>
              <w:start w:w="80" w:type="dxa"/>
              <w:bottom w:w="80" w:type="dxa"/>
              <w:end w:w="80" w:type="dxa"/>
            </w:tcMar>
            <w:tcBorders>
              <w:bottom w:sz="2" w:val="single" w:color="D9DEE5"/>
            </w:tcBorders>
            <w:vAlign w:val="center"/>
          </w:tcPr>
          <w:p>
            <w:pPr>
              <w:keepLines/>
            </w:pPr>
            <w:r>
              <w:rPr>
                <w:rFonts w:ascii="Carlito" w:hAnsi="Carlito" w:eastAsia="Carlito"/>
                <w:b w:val="0"/>
                <w:color w:val="40464D"/>
                <w:sz w:val="17"/>
              </w:rPr>
              <w:t>Mesure principale d’adoption sur la population ciblée.</w:t>
            </w:r>
          </w:p>
        </w:tc>
      </w:tr>
      <w:tr>
        <w:trPr>
          <w:trHeight w:hRule="atLeast"/>
        </w:trPr>
        <w:tc>
          <w:tcPr>
            <w:tcW w:type="dxa" w:w="3240"/>
            <w:shd w:fill="FAFBFC"/>
            <w:tcMar>
              <w:top w:w="80" w:type="dxa"/>
              <w:start w:w="80" w:type="dxa"/>
              <w:bottom w:w="80" w:type="dxa"/>
              <w:end w:w="80" w:type="dxa"/>
            </w:tcMar>
            <w:tcBorders>
              <w:bottom w:sz="2" w:val="single" w:color="D9DEE5"/>
            </w:tcBorders>
            <w:vAlign w:val="center"/>
          </w:tcPr>
          <w:p>
            <w:pPr>
              <w:keepLines/>
            </w:pPr>
            <w:r>
              <w:rPr>
                <w:rFonts w:ascii="Carlito" w:hAnsi="Carlito" w:eastAsia="Carlito"/>
                <w:b/>
                <w:color w:val="17365D"/>
                <w:sz w:val="17"/>
              </w:rPr>
              <w:t>Participation à la formation</w:t>
            </w:r>
          </w:p>
        </w:tc>
        <w:tc>
          <w:tcPr>
            <w:tcW w:type="dxa" w:w="3096"/>
            <w:shd w:fill="FAFBFC"/>
            <w:tcMar>
              <w:top w:w="80" w:type="dxa"/>
              <w:start w:w="80" w:type="dxa"/>
              <w:bottom w:w="80" w:type="dxa"/>
              <w:end w:w="80" w:type="dxa"/>
            </w:tcMar>
            <w:tcBorders>
              <w:bottom w:sz="2" w:val="single" w:color="D9DEE5"/>
            </w:tcBorders>
            <w:vAlign w:val="center"/>
          </w:tcPr>
          <w:p>
            <w:pPr>
              <w:keepLines/>
            </w:pPr>
            <w:r>
              <w:rPr>
                <w:rFonts w:ascii="Carlito" w:hAnsi="Carlito" w:eastAsia="Carlito"/>
                <w:b w:val="0"/>
                <w:color w:val="40464D"/>
                <w:sz w:val="17"/>
              </w:rPr>
              <w:t>≥ 85 %</w:t>
            </w:r>
          </w:p>
        </w:tc>
        <w:tc>
          <w:tcPr>
            <w:tcW w:type="dxa" w:w="3744"/>
            <w:shd w:fill="FAFBFC"/>
            <w:tcMar>
              <w:top w:w="80" w:type="dxa"/>
              <w:start w:w="80" w:type="dxa"/>
              <w:bottom w:w="80" w:type="dxa"/>
              <w:end w:w="80" w:type="dxa"/>
            </w:tcMar>
            <w:tcBorders>
              <w:bottom w:sz="2" w:val="single" w:color="D9DEE5"/>
            </w:tcBorders>
            <w:vAlign w:val="center"/>
          </w:tcPr>
          <w:p>
            <w:pPr>
              <w:keepLines/>
            </w:pPr>
            <w:r>
              <w:rPr>
                <w:rFonts w:ascii="Carlito" w:hAnsi="Carlito" w:eastAsia="Carlito"/>
                <w:b w:val="0"/>
                <w:color w:val="40464D"/>
                <w:sz w:val="17"/>
              </w:rPr>
              <w:t>À confirmer selon la stratégie finale de formation.</w:t>
            </w:r>
          </w:p>
        </w:tc>
      </w:tr>
      <w:tr>
        <w:trPr>
          <w:trHeight w:hRule="atLeast"/>
        </w:trPr>
        <w:tc>
          <w:tcPr>
            <w:tcW w:type="dxa" w:w="3240"/>
            <w:tcMar>
              <w:top w:w="80" w:type="dxa"/>
              <w:start w:w="80" w:type="dxa"/>
              <w:bottom w:w="80" w:type="dxa"/>
              <w:end w:w="80" w:type="dxa"/>
            </w:tcMar>
            <w:tcBorders>
              <w:bottom w:sz="2" w:val="single" w:color="D9DEE5"/>
            </w:tcBorders>
            <w:vAlign w:val="center"/>
          </w:tcPr>
          <w:p>
            <w:pPr>
              <w:keepLines/>
            </w:pPr>
            <w:r>
              <w:rPr>
                <w:rFonts w:ascii="Carlito" w:hAnsi="Carlito" w:eastAsia="Carlito"/>
                <w:b/>
                <w:color w:val="17365D"/>
                <w:sz w:val="17"/>
              </w:rPr>
              <w:t>Satisfaction des participants</w:t>
            </w:r>
          </w:p>
        </w:tc>
        <w:tc>
          <w:tcPr>
            <w:tcW w:type="dxa" w:w="3096"/>
            <w:tcMar>
              <w:top w:w="80" w:type="dxa"/>
              <w:start w:w="80" w:type="dxa"/>
              <w:bottom w:w="80" w:type="dxa"/>
              <w:end w:w="80" w:type="dxa"/>
            </w:tcMar>
            <w:tcBorders>
              <w:bottom w:sz="2" w:val="single" w:color="D9DEE5"/>
            </w:tcBorders>
            <w:vAlign w:val="center"/>
          </w:tcPr>
          <w:p>
            <w:pPr>
              <w:keepLines/>
            </w:pPr>
            <w:r>
              <w:rPr>
                <w:rFonts w:ascii="Carlito" w:hAnsi="Carlito" w:eastAsia="Carlito"/>
                <w:b w:val="0"/>
                <w:color w:val="40464D"/>
                <w:sz w:val="17"/>
              </w:rPr>
              <w:t>≥ 4/5</w:t>
            </w:r>
          </w:p>
        </w:tc>
        <w:tc>
          <w:tcPr>
            <w:tcW w:type="dxa" w:w="3744"/>
            <w:tcMar>
              <w:top w:w="80" w:type="dxa"/>
              <w:start w:w="80" w:type="dxa"/>
              <w:bottom w:w="80" w:type="dxa"/>
              <w:end w:w="80" w:type="dxa"/>
            </w:tcMar>
            <w:tcBorders>
              <w:bottom w:sz="2" w:val="single" w:color="D9DEE5"/>
            </w:tcBorders>
            <w:vAlign w:val="center"/>
          </w:tcPr>
          <w:p>
            <w:pPr>
              <w:keepLines/>
            </w:pPr>
            <w:r>
              <w:rPr>
                <w:rFonts w:ascii="Carlito" w:hAnsi="Carlito" w:eastAsia="Carlito"/>
                <w:b w:val="0"/>
                <w:color w:val="40464D"/>
                <w:sz w:val="17"/>
              </w:rPr>
              <w:t>Enquête après formation / période pilote.</w:t>
            </w:r>
          </w:p>
        </w:tc>
      </w:tr>
      <w:tr>
        <w:trPr>
          <w:trHeight w:hRule="atLeast"/>
        </w:trPr>
        <w:tc>
          <w:tcPr>
            <w:tcW w:type="dxa" w:w="3240"/>
            <w:shd w:fill="FAFBFC"/>
            <w:tcMar>
              <w:top w:w="80" w:type="dxa"/>
              <w:start w:w="80" w:type="dxa"/>
              <w:bottom w:w="80" w:type="dxa"/>
              <w:end w:w="80" w:type="dxa"/>
            </w:tcMar>
            <w:tcBorders>
              <w:bottom w:sz="2" w:val="single" w:color="D9DEE5"/>
            </w:tcBorders>
            <w:vAlign w:val="center"/>
          </w:tcPr>
          <w:p>
            <w:pPr>
              <w:keepLines/>
            </w:pPr>
            <w:r>
              <w:rPr>
                <w:rFonts w:ascii="Carlito" w:hAnsi="Carlito" w:eastAsia="Carlito"/>
                <w:b/>
                <w:color w:val="17365D"/>
                <w:sz w:val="17"/>
              </w:rPr>
              <w:t>Réseau d’ambassadeurs</w:t>
            </w:r>
          </w:p>
        </w:tc>
        <w:tc>
          <w:tcPr>
            <w:tcW w:type="dxa" w:w="3096"/>
            <w:shd w:fill="FAFBFC"/>
            <w:tcMar>
              <w:top w:w="80" w:type="dxa"/>
              <w:start w:w="80" w:type="dxa"/>
              <w:bottom w:w="80" w:type="dxa"/>
              <w:end w:w="80" w:type="dxa"/>
            </w:tcMar>
            <w:tcBorders>
              <w:bottom w:sz="2" w:val="single" w:color="D9DEE5"/>
            </w:tcBorders>
            <w:vAlign w:val="center"/>
          </w:tcPr>
          <w:p>
            <w:pPr>
              <w:keepLines/>
            </w:pPr>
            <w:r>
              <w:rPr>
                <w:rFonts w:ascii="Carlito" w:hAnsi="Carlito" w:eastAsia="Carlito"/>
                <w:b w:val="0"/>
                <w:color w:val="40464D"/>
                <w:sz w:val="17"/>
              </w:rPr>
              <w:t>Cible à confirmer</w:t>
            </w:r>
          </w:p>
        </w:tc>
        <w:tc>
          <w:tcPr>
            <w:tcW w:type="dxa" w:w="3744"/>
            <w:shd w:fill="FAFBFC"/>
            <w:tcMar>
              <w:top w:w="80" w:type="dxa"/>
              <w:start w:w="80" w:type="dxa"/>
              <w:bottom w:w="80" w:type="dxa"/>
              <w:end w:w="80" w:type="dxa"/>
            </w:tcMar>
            <w:tcBorders>
              <w:bottom w:sz="2" w:val="single" w:color="D9DEE5"/>
            </w:tcBorders>
            <w:vAlign w:val="center"/>
          </w:tcPr>
          <w:p>
            <w:pPr>
              <w:keepLines/>
            </w:pPr>
            <w:r>
              <w:rPr>
                <w:rFonts w:ascii="Carlito" w:hAnsi="Carlito" w:eastAsia="Carlito"/>
                <w:b w:val="0"/>
                <w:color w:val="40464D"/>
                <w:sz w:val="17"/>
              </w:rPr>
              <w:t>Nombre final à définir selon la population et les capacités disponibles.</w:t>
            </w:r>
          </w:p>
        </w:tc>
      </w:tr>
      <w:tr>
        <w:trPr>
          <w:trHeight w:hRule="atLeast"/>
        </w:trPr>
        <w:tc>
          <w:tcPr>
            <w:tcW w:type="dxa" w:w="3240"/>
            <w:tcMar>
              <w:top w:w="80" w:type="dxa"/>
              <w:start w:w="80" w:type="dxa"/>
              <w:bottom w:w="80" w:type="dxa"/>
              <w:end w:w="80" w:type="dxa"/>
            </w:tcMar>
            <w:tcBorders>
              <w:bottom w:sz="2" w:val="single" w:color="D9DEE5"/>
            </w:tcBorders>
            <w:vAlign w:val="center"/>
          </w:tcPr>
          <w:p>
            <w:pPr>
              <w:keepLines/>
            </w:pPr>
            <w:r>
              <w:rPr>
                <w:rFonts w:ascii="Carlito" w:hAnsi="Carlito" w:eastAsia="Carlito"/>
                <w:b/>
                <w:color w:val="17365D"/>
                <w:sz w:val="17"/>
              </w:rPr>
              <w:t>Incidents critiques liés au pilote</w:t>
            </w:r>
          </w:p>
        </w:tc>
        <w:tc>
          <w:tcPr>
            <w:tcW w:type="dxa" w:w="3096"/>
            <w:tcMar>
              <w:top w:w="80" w:type="dxa"/>
              <w:start w:w="80" w:type="dxa"/>
              <w:bottom w:w="80" w:type="dxa"/>
              <w:end w:w="80" w:type="dxa"/>
            </w:tcMar>
            <w:tcBorders>
              <w:bottom w:sz="2" w:val="single" w:color="D9DEE5"/>
            </w:tcBorders>
            <w:vAlign w:val="center"/>
          </w:tcPr>
          <w:p>
            <w:pPr>
              <w:keepLines/>
            </w:pPr>
            <w:r>
              <w:rPr>
                <w:rFonts w:ascii="Carlito" w:hAnsi="Carlito" w:eastAsia="Carlito"/>
                <w:b w:val="0"/>
                <w:color w:val="40464D"/>
                <w:sz w:val="17"/>
              </w:rPr>
              <w:t>0</w:t>
            </w:r>
          </w:p>
        </w:tc>
        <w:tc>
          <w:tcPr>
            <w:tcW w:type="dxa" w:w="3744"/>
            <w:tcMar>
              <w:top w:w="80" w:type="dxa"/>
              <w:start w:w="80" w:type="dxa"/>
              <w:bottom w:w="80" w:type="dxa"/>
              <w:end w:w="80" w:type="dxa"/>
            </w:tcMar>
            <w:tcBorders>
              <w:bottom w:sz="2" w:val="single" w:color="D9DEE5"/>
            </w:tcBorders>
            <w:vAlign w:val="center"/>
          </w:tcPr>
          <w:p>
            <w:pPr>
              <w:keepLines/>
            </w:pPr>
            <w:r>
              <w:rPr>
                <w:rFonts w:ascii="Carlito" w:hAnsi="Carlito" w:eastAsia="Carlito"/>
                <w:b w:val="0"/>
                <w:color w:val="40464D"/>
                <w:sz w:val="17"/>
              </w:rPr>
              <w:t>Suivi selon les processus de sécurité et de conformité de Contoso.</w:t>
            </w:r>
          </w:p>
        </w:tc>
      </w:tr>
    </w:tbl>
    <w:p>
      <w:r>
        <w:br w:type="page"/>
      </w:r>
    </w:p>
    <w:p>
      <w:pPr>
        <w:pStyle w:val="Heading1"/>
        <w:keepNext/>
      </w:pPr>
      <w:r>
        <w:t>10. Hypothèses, dépendances et risques initiaux</w:t>
      </w:r>
    </w:p>
    <w:p>
      <w:pPr>
        <w:spacing w:after="120" w:line="259" w:lineRule="auto"/>
      </w:pPr>
      <w:r>
        <w:t>La charte identifie les principaux éléments connus au moment du cadrage. Le registre des risques détaillé sera maintenu dans un document distinct et pourra évoluer au fil du projet.</w:t>
      </w:r>
    </w:p>
    <w:tbl>
      <w:tblPr>
        <w:tblW w:type="auto" w:w="0"/>
        <w:jc w:val="center"/>
        <w:tblLayout w:type="fixed"/>
        <w:tblLook w:firstColumn="1" w:firstRow="1" w:lastColumn="0" w:lastRow="0" w:noHBand="0" w:noVBand="1" w:val="04A0"/>
      </w:tblPr>
      <w:tblGrid>
        <w:gridCol w:w="2520"/>
        <w:gridCol w:w="3384"/>
        <w:gridCol w:w="2232"/>
        <w:gridCol w:w="2088"/>
      </w:tblGrid>
      <w:tr>
        <w:trPr>
          <w:trHeight w:hRule="atLeast"/>
          <w:tblHeader w:val="true"/>
        </w:trPr>
        <w:tc>
          <w:tcPr>
            <w:tcW w:type="dxa" w:w="2541"/>
            <w:shd w:fill="17365D"/>
            <w:tcMar>
              <w:top w:w="95" w:type="dxa"/>
              <w:start w:w="75" w:type="dxa"/>
              <w:bottom w:w="95" w:type="dxa"/>
              <w:end w:w="75" w:type="dxa"/>
            </w:tcMar>
            <w:vAlign w:val="center"/>
          </w:tcPr>
          <w:p>
            <w:pPr>
              <w:keepLines/>
            </w:pPr>
            <w:r>
              <w:rPr>
                <w:rFonts w:ascii="Carlito" w:hAnsi="Carlito" w:eastAsia="Carlito"/>
                <w:b/>
                <w:color w:val="FFFFFF"/>
                <w:sz w:val="17"/>
              </w:rPr>
              <w:t>Sujet</w:t>
            </w:r>
          </w:p>
        </w:tc>
        <w:tc>
          <w:tcPr>
            <w:tcW w:type="dxa" w:w="2541"/>
            <w:shd w:fill="17365D"/>
            <w:tcMar>
              <w:top w:w="95" w:type="dxa"/>
              <w:start w:w="75" w:type="dxa"/>
              <w:bottom w:w="95" w:type="dxa"/>
              <w:end w:w="75" w:type="dxa"/>
            </w:tcMar>
            <w:vAlign w:val="center"/>
          </w:tcPr>
          <w:p>
            <w:pPr>
              <w:keepLines/>
            </w:pPr>
            <w:r>
              <w:rPr>
                <w:rFonts w:ascii="Carlito" w:hAnsi="Carlito" w:eastAsia="Carlito"/>
                <w:b/>
                <w:color w:val="FFFFFF"/>
                <w:sz w:val="17"/>
              </w:rPr>
              <w:t>Description initiale</w:t>
            </w:r>
          </w:p>
        </w:tc>
        <w:tc>
          <w:tcPr>
            <w:tcW w:type="dxa" w:w="2541"/>
            <w:shd w:fill="17365D"/>
            <w:tcMar>
              <w:top w:w="95" w:type="dxa"/>
              <w:start w:w="75" w:type="dxa"/>
              <w:bottom w:w="95" w:type="dxa"/>
              <w:end w:w="75" w:type="dxa"/>
            </w:tcMar>
            <w:vAlign w:val="center"/>
          </w:tcPr>
          <w:p>
            <w:pPr>
              <w:keepLines/>
            </w:pPr>
            <w:r>
              <w:rPr>
                <w:rFonts w:ascii="Carlito" w:hAnsi="Carlito" w:eastAsia="Carlito"/>
                <w:b/>
                <w:color w:val="FFFFFF"/>
                <w:sz w:val="17"/>
              </w:rPr>
              <w:t>Impact potentiel</w:t>
            </w:r>
          </w:p>
        </w:tc>
        <w:tc>
          <w:tcPr>
            <w:tcW w:type="dxa" w:w="2541"/>
            <w:shd w:fill="17365D"/>
            <w:tcMar>
              <w:top w:w="95" w:type="dxa"/>
              <w:start w:w="75" w:type="dxa"/>
              <w:bottom w:w="95" w:type="dxa"/>
              <w:end w:w="75" w:type="dxa"/>
            </w:tcMar>
            <w:vAlign w:val="center"/>
          </w:tcPr>
          <w:p>
            <w:pPr>
              <w:keepLines/>
            </w:pPr>
            <w:r>
              <w:rPr>
                <w:rFonts w:ascii="Carlito" w:hAnsi="Carlito" w:eastAsia="Carlito"/>
                <w:b/>
                <w:color w:val="FFFFFF"/>
                <w:sz w:val="17"/>
              </w:rPr>
              <w:t>Statut</w:t>
            </w:r>
          </w:p>
        </w:tc>
      </w:tr>
      <w:tr>
        <w:trPr>
          <w:trHeight w:hRule="atLeast"/>
        </w:trPr>
        <w:tc>
          <w:tcPr>
            <w:tcW w:type="dxa" w:w="2520"/>
            <w:tcMar>
              <w:top w:w="78" w:type="dxa"/>
              <w:start w:w="68" w:type="dxa"/>
              <w:bottom w:w="78" w:type="dxa"/>
              <w:end w:w="68" w:type="dxa"/>
            </w:tcMar>
            <w:tcBorders>
              <w:bottom w:sz="2" w:val="single" w:color="D9DEE5"/>
            </w:tcBorders>
            <w:vAlign w:val="center"/>
          </w:tcPr>
          <w:p>
            <w:pPr>
              <w:keepLines/>
            </w:pPr>
            <w:r>
              <w:rPr>
                <w:rFonts w:ascii="Carlito" w:hAnsi="Carlito" w:eastAsia="Carlito"/>
                <w:b/>
                <w:color w:val="17365D"/>
                <w:sz w:val="17"/>
              </w:rPr>
              <w:t>Licences</w:t>
            </w:r>
          </w:p>
        </w:tc>
        <w:tc>
          <w:tcPr>
            <w:tcW w:type="dxa" w:w="3384"/>
            <w:tcMar>
              <w:top w:w="78" w:type="dxa"/>
              <w:start w:w="68" w:type="dxa"/>
              <w:bottom w:w="78" w:type="dxa"/>
              <w:end w:w="68" w:type="dxa"/>
            </w:tcMar>
            <w:tcBorders>
              <w:bottom w:sz="2" w:val="single" w:color="D9DEE5"/>
            </w:tcBorders>
            <w:vAlign w:val="center"/>
          </w:tcPr>
          <w:p>
            <w:pPr>
              <w:keepLines/>
            </w:pPr>
            <w:r>
              <w:rPr>
                <w:rFonts w:ascii="Carlito" w:hAnsi="Carlito" w:eastAsia="Carlito"/>
                <w:b w:val="0"/>
                <w:color w:val="40464D"/>
                <w:sz w:val="17"/>
              </w:rPr>
              <w:t>Coût, quantité et calendrier d’acquisition non confirmés.</w:t>
            </w:r>
          </w:p>
        </w:tc>
        <w:tc>
          <w:tcPr>
            <w:tcW w:type="dxa" w:w="2232"/>
            <w:tcMar>
              <w:top w:w="78" w:type="dxa"/>
              <w:start w:w="68" w:type="dxa"/>
              <w:bottom w:w="78" w:type="dxa"/>
              <w:end w:w="68" w:type="dxa"/>
            </w:tcMar>
            <w:tcBorders>
              <w:bottom w:sz="2" w:val="single" w:color="D9DEE5"/>
            </w:tcBorders>
            <w:vAlign w:val="center"/>
          </w:tcPr>
          <w:p>
            <w:pPr>
              <w:keepLines/>
            </w:pPr>
            <w:r>
              <w:rPr>
                <w:rFonts w:ascii="Carlito" w:hAnsi="Carlito" w:eastAsia="Carlito"/>
                <w:b w:val="0"/>
                <w:color w:val="40464D"/>
                <w:sz w:val="17"/>
              </w:rPr>
              <w:t>Budget / calendrier</w:t>
            </w:r>
          </w:p>
        </w:tc>
        <w:tc>
          <w:tcPr>
            <w:tcW w:type="dxa" w:w="2088"/>
            <w:tcMar>
              <w:top w:w="78" w:type="dxa"/>
              <w:start w:w="68" w:type="dxa"/>
              <w:bottom w:w="78" w:type="dxa"/>
              <w:end w:w="68" w:type="dxa"/>
            </w:tcMar>
            <w:tcBorders>
              <w:bottom w:sz="2" w:val="single" w:color="D9DEE5"/>
            </w:tcBorders>
            <w:vAlign w:val="center"/>
          </w:tcPr>
          <w:p>
            <w:pPr>
              <w:keepLines/>
            </w:pPr>
            <w:r>
              <w:rPr>
                <w:rFonts w:ascii="Carlito" w:hAnsi="Carlito" w:eastAsia="Carlito"/>
                <w:b/>
                <w:color w:val="A61B1B"/>
                <w:sz w:val="17"/>
              </w:rPr>
              <w:t>Ouvert</w:t>
            </w:r>
          </w:p>
        </w:tc>
      </w:tr>
      <w:tr>
        <w:trPr>
          <w:trHeight w:hRule="atLeast"/>
        </w:trPr>
        <w:tc>
          <w:tcPr>
            <w:tcW w:type="dxa" w:w="2520"/>
            <w:shd w:fill="FAFBFC"/>
            <w:tcMar>
              <w:top w:w="78" w:type="dxa"/>
              <w:start w:w="68" w:type="dxa"/>
              <w:bottom w:w="78" w:type="dxa"/>
              <w:end w:w="68" w:type="dxa"/>
            </w:tcMar>
            <w:tcBorders>
              <w:bottom w:sz="2" w:val="single" w:color="D9DEE5"/>
            </w:tcBorders>
            <w:vAlign w:val="center"/>
          </w:tcPr>
          <w:p>
            <w:pPr>
              <w:keepLines/>
            </w:pPr>
            <w:r>
              <w:rPr>
                <w:rFonts w:ascii="Carlito" w:hAnsi="Carlito" w:eastAsia="Carlito"/>
                <w:b/>
                <w:color w:val="17365D"/>
                <w:sz w:val="17"/>
              </w:rPr>
              <w:t>Juridique / conformité</w:t>
            </w:r>
          </w:p>
        </w:tc>
        <w:tc>
          <w:tcPr>
            <w:tcW w:type="dxa" w:w="3384"/>
            <w:shd w:fill="FAFBFC"/>
            <w:tcMar>
              <w:top w:w="78" w:type="dxa"/>
              <w:start w:w="68" w:type="dxa"/>
              <w:bottom w:w="78" w:type="dxa"/>
              <w:end w:w="68" w:type="dxa"/>
            </w:tcMar>
            <w:tcBorders>
              <w:bottom w:sz="2" w:val="single" w:color="D9DEE5"/>
            </w:tcBorders>
            <w:vAlign w:val="center"/>
          </w:tcPr>
          <w:p>
            <w:pPr>
              <w:keepLines/>
            </w:pPr>
            <w:r>
              <w:rPr>
                <w:rFonts w:ascii="Carlito" w:hAnsi="Carlito" w:eastAsia="Carlito"/>
                <w:b w:val="0"/>
                <w:color w:val="40464D"/>
                <w:sz w:val="17"/>
              </w:rPr>
              <w:t>Conditions d’utilisation des données et validations finales à confirmer.</w:t>
            </w:r>
          </w:p>
        </w:tc>
        <w:tc>
          <w:tcPr>
            <w:tcW w:type="dxa" w:w="2232"/>
            <w:shd w:fill="FAFBFC"/>
            <w:tcMar>
              <w:top w:w="78" w:type="dxa"/>
              <w:start w:w="68" w:type="dxa"/>
              <w:bottom w:w="78" w:type="dxa"/>
              <w:end w:w="68" w:type="dxa"/>
            </w:tcMar>
            <w:tcBorders>
              <w:bottom w:sz="2" w:val="single" w:color="D9DEE5"/>
            </w:tcBorders>
            <w:vAlign w:val="center"/>
          </w:tcPr>
          <w:p>
            <w:pPr>
              <w:keepLines/>
            </w:pPr>
            <w:r>
              <w:rPr>
                <w:rFonts w:ascii="Carlito" w:hAnsi="Carlito" w:eastAsia="Carlito"/>
                <w:b w:val="0"/>
                <w:color w:val="40464D"/>
                <w:sz w:val="17"/>
              </w:rPr>
              <w:t>Lancement / périmètre</w:t>
            </w:r>
          </w:p>
        </w:tc>
        <w:tc>
          <w:tcPr>
            <w:tcW w:type="dxa" w:w="2088"/>
            <w:shd w:fill="FAFBFC"/>
            <w:tcMar>
              <w:top w:w="78" w:type="dxa"/>
              <w:start w:w="68" w:type="dxa"/>
              <w:bottom w:w="78" w:type="dxa"/>
              <w:end w:w="68" w:type="dxa"/>
            </w:tcMar>
            <w:tcBorders>
              <w:bottom w:sz="2" w:val="single" w:color="D9DEE5"/>
            </w:tcBorders>
            <w:vAlign w:val="center"/>
          </w:tcPr>
          <w:p>
            <w:pPr>
              <w:keepLines/>
            </w:pPr>
            <w:r>
              <w:rPr>
                <w:rFonts w:ascii="Carlito" w:hAnsi="Carlito" w:eastAsia="Carlito"/>
                <w:b/>
                <w:color w:val="A61B1B"/>
                <w:sz w:val="17"/>
              </w:rPr>
              <w:t>Ouvert</w:t>
            </w:r>
          </w:p>
        </w:tc>
      </w:tr>
      <w:tr>
        <w:trPr>
          <w:trHeight w:hRule="atLeast"/>
        </w:trPr>
        <w:tc>
          <w:tcPr>
            <w:tcW w:type="dxa" w:w="2520"/>
            <w:tcMar>
              <w:top w:w="78" w:type="dxa"/>
              <w:start w:w="68" w:type="dxa"/>
              <w:bottom w:w="78" w:type="dxa"/>
              <w:end w:w="68" w:type="dxa"/>
            </w:tcMar>
            <w:tcBorders>
              <w:bottom w:sz="2" w:val="single" w:color="D9DEE5"/>
            </w:tcBorders>
            <w:vAlign w:val="center"/>
          </w:tcPr>
          <w:p>
            <w:pPr>
              <w:keepLines/>
            </w:pPr>
            <w:r>
              <w:rPr>
                <w:rFonts w:ascii="Carlito" w:hAnsi="Carlito" w:eastAsia="Carlito"/>
                <w:b/>
                <w:color w:val="17365D"/>
                <w:sz w:val="17"/>
              </w:rPr>
              <w:t>Population pilote</w:t>
            </w:r>
          </w:p>
        </w:tc>
        <w:tc>
          <w:tcPr>
            <w:tcW w:type="dxa" w:w="3384"/>
            <w:tcMar>
              <w:top w:w="78" w:type="dxa"/>
              <w:start w:w="68" w:type="dxa"/>
              <w:bottom w:w="78" w:type="dxa"/>
              <w:end w:w="68" w:type="dxa"/>
            </w:tcMar>
            <w:tcBorders>
              <w:bottom w:sz="2" w:val="single" w:color="D9DEE5"/>
            </w:tcBorders>
            <w:vAlign w:val="center"/>
          </w:tcPr>
          <w:p>
            <w:pPr>
              <w:keepLines/>
            </w:pPr>
            <w:r>
              <w:rPr>
                <w:rFonts w:ascii="Carlito" w:hAnsi="Carlito" w:eastAsia="Carlito"/>
                <w:b w:val="0"/>
                <w:color w:val="40464D"/>
                <w:sz w:val="17"/>
              </w:rPr>
              <w:t>Taille, critères et participants non arrêtés.</w:t>
            </w:r>
          </w:p>
        </w:tc>
        <w:tc>
          <w:tcPr>
            <w:tcW w:type="dxa" w:w="2232"/>
            <w:tcMar>
              <w:top w:w="78" w:type="dxa"/>
              <w:start w:w="68" w:type="dxa"/>
              <w:bottom w:w="78" w:type="dxa"/>
              <w:end w:w="68" w:type="dxa"/>
            </w:tcMar>
            <w:tcBorders>
              <w:bottom w:sz="2" w:val="single" w:color="D9DEE5"/>
            </w:tcBorders>
            <w:vAlign w:val="center"/>
          </w:tcPr>
          <w:p>
            <w:pPr>
              <w:keepLines/>
            </w:pPr>
            <w:r>
              <w:rPr>
                <w:rFonts w:ascii="Carlito" w:hAnsi="Carlito" w:eastAsia="Carlito"/>
                <w:b w:val="0"/>
                <w:color w:val="40464D"/>
                <w:sz w:val="17"/>
              </w:rPr>
              <w:t>Qualité du pilote</w:t>
            </w:r>
          </w:p>
        </w:tc>
        <w:tc>
          <w:tcPr>
            <w:tcW w:type="dxa" w:w="2088"/>
            <w:tcMar>
              <w:top w:w="78" w:type="dxa"/>
              <w:start w:w="68" w:type="dxa"/>
              <w:bottom w:w="78" w:type="dxa"/>
              <w:end w:w="68" w:type="dxa"/>
            </w:tcMar>
            <w:tcBorders>
              <w:bottom w:sz="2" w:val="single" w:color="D9DEE5"/>
            </w:tcBorders>
            <w:vAlign w:val="center"/>
          </w:tcPr>
          <w:p>
            <w:pPr>
              <w:keepLines/>
            </w:pPr>
            <w:r>
              <w:rPr>
                <w:rFonts w:ascii="Carlito" w:hAnsi="Carlito" w:eastAsia="Carlito"/>
                <w:b/>
                <w:color w:val="A61B1B"/>
                <w:sz w:val="17"/>
              </w:rPr>
              <w:t>Ouvert</w:t>
            </w:r>
          </w:p>
        </w:tc>
      </w:tr>
      <w:tr>
        <w:trPr>
          <w:trHeight w:hRule="atLeast"/>
        </w:trPr>
        <w:tc>
          <w:tcPr>
            <w:tcW w:type="dxa" w:w="2520"/>
            <w:shd w:fill="FAFBFC"/>
            <w:tcMar>
              <w:top w:w="78" w:type="dxa"/>
              <w:start w:w="68" w:type="dxa"/>
              <w:bottom w:w="78" w:type="dxa"/>
              <w:end w:w="68" w:type="dxa"/>
            </w:tcMar>
            <w:tcBorders>
              <w:bottom w:sz="2" w:val="single" w:color="D9DEE5"/>
            </w:tcBorders>
            <w:vAlign w:val="center"/>
          </w:tcPr>
          <w:p>
            <w:pPr>
              <w:keepLines/>
            </w:pPr>
            <w:r>
              <w:rPr>
                <w:rFonts w:ascii="Carlito" w:hAnsi="Carlito" w:eastAsia="Carlito"/>
                <w:b/>
                <w:color w:val="17365D"/>
                <w:sz w:val="17"/>
              </w:rPr>
              <w:t>Formation</w:t>
            </w:r>
          </w:p>
        </w:tc>
        <w:tc>
          <w:tcPr>
            <w:tcW w:type="dxa" w:w="3384"/>
            <w:shd w:fill="FAFBFC"/>
            <w:tcMar>
              <w:top w:w="78" w:type="dxa"/>
              <w:start w:w="68" w:type="dxa"/>
              <w:bottom w:w="78" w:type="dxa"/>
              <w:end w:w="68" w:type="dxa"/>
            </w:tcMar>
            <w:tcBorders>
              <w:bottom w:sz="2" w:val="single" w:color="D9DEE5"/>
            </w:tcBorders>
            <w:vAlign w:val="center"/>
          </w:tcPr>
          <w:p>
            <w:pPr>
              <w:keepLines/>
            </w:pPr>
            <w:r>
              <w:rPr>
                <w:rFonts w:ascii="Carlito" w:hAnsi="Carlito" w:eastAsia="Carlito"/>
                <w:b w:val="0"/>
                <w:color w:val="40464D"/>
                <w:sz w:val="17"/>
              </w:rPr>
              <w:t>Capacité des formateurs et disponibilité des cohortes à confirmer.</w:t>
            </w:r>
          </w:p>
        </w:tc>
        <w:tc>
          <w:tcPr>
            <w:tcW w:type="dxa" w:w="2232"/>
            <w:shd w:fill="FAFBFC"/>
            <w:tcMar>
              <w:top w:w="78" w:type="dxa"/>
              <w:start w:w="68" w:type="dxa"/>
              <w:bottom w:w="78" w:type="dxa"/>
              <w:end w:w="68" w:type="dxa"/>
            </w:tcMar>
            <w:tcBorders>
              <w:bottom w:sz="2" w:val="single" w:color="D9DEE5"/>
            </w:tcBorders>
            <w:vAlign w:val="center"/>
          </w:tcPr>
          <w:p>
            <w:pPr>
              <w:keepLines/>
            </w:pPr>
            <w:r>
              <w:rPr>
                <w:rFonts w:ascii="Carlito" w:hAnsi="Carlito" w:eastAsia="Carlito"/>
                <w:b w:val="0"/>
                <w:color w:val="40464D"/>
                <w:sz w:val="17"/>
              </w:rPr>
              <w:t>Préparation utilisateurs</w:t>
            </w:r>
          </w:p>
        </w:tc>
        <w:tc>
          <w:tcPr>
            <w:tcW w:type="dxa" w:w="2088"/>
            <w:shd w:fill="FAFBFC"/>
            <w:tcMar>
              <w:top w:w="78" w:type="dxa"/>
              <w:start w:w="68" w:type="dxa"/>
              <w:bottom w:w="78" w:type="dxa"/>
              <w:end w:w="68" w:type="dxa"/>
            </w:tcMar>
            <w:tcBorders>
              <w:bottom w:sz="2" w:val="single" w:color="D9DEE5"/>
            </w:tcBorders>
            <w:vAlign w:val="center"/>
          </w:tcPr>
          <w:p>
            <w:pPr>
              <w:keepLines/>
            </w:pPr>
            <w:r>
              <w:rPr>
                <w:rFonts w:ascii="Carlito" w:hAnsi="Carlito" w:eastAsia="Carlito"/>
                <w:b/>
                <w:color w:val="A61B1B"/>
                <w:sz w:val="17"/>
              </w:rPr>
              <w:t>Ouvert</w:t>
            </w:r>
          </w:p>
        </w:tc>
      </w:tr>
      <w:tr>
        <w:trPr>
          <w:trHeight w:hRule="atLeast"/>
        </w:trPr>
        <w:tc>
          <w:tcPr>
            <w:tcW w:type="dxa" w:w="2520"/>
            <w:tcMar>
              <w:top w:w="78" w:type="dxa"/>
              <w:start w:w="68" w:type="dxa"/>
              <w:bottom w:w="78" w:type="dxa"/>
              <w:end w:w="68" w:type="dxa"/>
            </w:tcMar>
            <w:tcBorders>
              <w:bottom w:sz="2" w:val="single" w:color="D9DEE5"/>
            </w:tcBorders>
            <w:vAlign w:val="center"/>
          </w:tcPr>
          <w:p>
            <w:pPr>
              <w:keepLines/>
            </w:pPr>
            <w:r>
              <w:rPr>
                <w:rFonts w:ascii="Carlito" w:hAnsi="Carlito" w:eastAsia="Carlito"/>
                <w:b/>
                <w:color w:val="17365D"/>
                <w:sz w:val="17"/>
              </w:rPr>
              <w:t>Ambassadeurs</w:t>
            </w:r>
          </w:p>
        </w:tc>
        <w:tc>
          <w:tcPr>
            <w:tcW w:type="dxa" w:w="3384"/>
            <w:tcMar>
              <w:top w:w="78" w:type="dxa"/>
              <w:start w:w="68" w:type="dxa"/>
              <w:bottom w:w="78" w:type="dxa"/>
              <w:end w:w="68" w:type="dxa"/>
            </w:tcMar>
            <w:tcBorders>
              <w:bottom w:sz="2" w:val="single" w:color="D9DEE5"/>
            </w:tcBorders>
            <w:vAlign w:val="center"/>
          </w:tcPr>
          <w:p>
            <w:pPr>
              <w:keepLines/>
            </w:pPr>
            <w:r>
              <w:rPr>
                <w:rFonts w:ascii="Carlito" w:hAnsi="Carlito" w:eastAsia="Carlito"/>
                <w:b w:val="0"/>
                <w:color w:val="40464D"/>
                <w:sz w:val="17"/>
              </w:rPr>
              <w:t>Réseau prévu, mais cible finale et disponibilité à confirmer.</w:t>
            </w:r>
          </w:p>
        </w:tc>
        <w:tc>
          <w:tcPr>
            <w:tcW w:type="dxa" w:w="2232"/>
            <w:tcMar>
              <w:top w:w="78" w:type="dxa"/>
              <w:start w:w="68" w:type="dxa"/>
              <w:bottom w:w="78" w:type="dxa"/>
              <w:end w:w="68" w:type="dxa"/>
            </w:tcMar>
            <w:tcBorders>
              <w:bottom w:sz="2" w:val="single" w:color="D9DEE5"/>
            </w:tcBorders>
            <w:vAlign w:val="center"/>
          </w:tcPr>
          <w:p>
            <w:pPr>
              <w:keepLines/>
            </w:pPr>
            <w:r>
              <w:rPr>
                <w:rFonts w:ascii="Carlito" w:hAnsi="Carlito" w:eastAsia="Carlito"/>
                <w:b w:val="0"/>
                <w:color w:val="40464D"/>
                <w:sz w:val="17"/>
              </w:rPr>
              <w:t>Soutien à l’adoption</w:t>
            </w:r>
          </w:p>
        </w:tc>
        <w:tc>
          <w:tcPr>
            <w:tcW w:type="dxa" w:w="2088"/>
            <w:tcMar>
              <w:top w:w="78" w:type="dxa"/>
              <w:start w:w="68" w:type="dxa"/>
              <w:bottom w:w="78" w:type="dxa"/>
              <w:end w:w="68" w:type="dxa"/>
            </w:tcMar>
            <w:tcBorders>
              <w:bottom w:sz="2" w:val="single" w:color="D9DEE5"/>
            </w:tcBorders>
            <w:vAlign w:val="center"/>
          </w:tcPr>
          <w:p>
            <w:pPr>
              <w:keepLines/>
            </w:pPr>
            <w:r>
              <w:rPr>
                <w:rFonts w:ascii="Carlito" w:hAnsi="Carlito" w:eastAsia="Carlito"/>
                <w:b/>
                <w:color w:val="A61B1B"/>
                <w:sz w:val="17"/>
              </w:rPr>
              <w:t>Ouvert</w:t>
            </w:r>
          </w:p>
        </w:tc>
      </w:tr>
      <w:tr>
        <w:trPr>
          <w:trHeight w:hRule="atLeast"/>
        </w:trPr>
        <w:tc>
          <w:tcPr>
            <w:tcW w:type="dxa" w:w="2520"/>
            <w:shd w:fill="FAFBFC"/>
            <w:tcMar>
              <w:top w:w="78" w:type="dxa"/>
              <w:start w:w="68" w:type="dxa"/>
              <w:bottom w:w="78" w:type="dxa"/>
              <w:end w:w="68" w:type="dxa"/>
            </w:tcMar>
            <w:tcBorders>
              <w:bottom w:sz="2" w:val="single" w:color="D9DEE5"/>
            </w:tcBorders>
            <w:vAlign w:val="center"/>
          </w:tcPr>
          <w:p>
            <w:pPr>
              <w:keepLines/>
            </w:pPr>
            <w:r>
              <w:rPr>
                <w:rFonts w:ascii="Carlito" w:hAnsi="Carlito" w:eastAsia="Carlito"/>
                <w:b/>
                <w:color w:val="17365D"/>
                <w:sz w:val="17"/>
              </w:rPr>
              <w:t>Communication</w:t>
            </w:r>
          </w:p>
        </w:tc>
        <w:tc>
          <w:tcPr>
            <w:tcW w:type="dxa" w:w="3384"/>
            <w:shd w:fill="FAFBFC"/>
            <w:tcMar>
              <w:top w:w="78" w:type="dxa"/>
              <w:start w:w="68" w:type="dxa"/>
              <w:bottom w:w="78" w:type="dxa"/>
              <w:end w:w="68" w:type="dxa"/>
            </w:tcMar>
            <w:tcBorders>
              <w:bottom w:sz="2" w:val="single" w:color="D9DEE5"/>
            </w:tcBorders>
            <w:vAlign w:val="center"/>
          </w:tcPr>
          <w:p>
            <w:pPr>
              <w:keepLines/>
            </w:pPr>
            <w:r>
              <w:rPr>
                <w:rFonts w:ascii="Carlito" w:hAnsi="Carlito" w:eastAsia="Carlito"/>
                <w:b w:val="0"/>
                <w:color w:val="40464D"/>
                <w:sz w:val="17"/>
              </w:rPr>
              <w:t>Calendrier dépendant des validations de lancement.</w:t>
            </w:r>
          </w:p>
        </w:tc>
        <w:tc>
          <w:tcPr>
            <w:tcW w:type="dxa" w:w="2232"/>
            <w:shd w:fill="FAFBFC"/>
            <w:tcMar>
              <w:top w:w="78" w:type="dxa"/>
              <w:start w:w="68" w:type="dxa"/>
              <w:bottom w:w="78" w:type="dxa"/>
              <w:end w:w="68" w:type="dxa"/>
            </w:tcMar>
            <w:tcBorders>
              <w:bottom w:sz="2" w:val="single" w:color="D9DEE5"/>
            </w:tcBorders>
            <w:vAlign w:val="center"/>
          </w:tcPr>
          <w:p>
            <w:pPr>
              <w:keepLines/>
            </w:pPr>
            <w:r>
              <w:rPr>
                <w:rFonts w:ascii="Carlito" w:hAnsi="Carlito" w:eastAsia="Carlito"/>
                <w:b w:val="0"/>
                <w:color w:val="40464D"/>
                <w:sz w:val="17"/>
              </w:rPr>
              <w:t>Adoption / réputation</w:t>
            </w:r>
          </w:p>
        </w:tc>
        <w:tc>
          <w:tcPr>
            <w:tcW w:type="dxa" w:w="2088"/>
            <w:shd w:fill="FAFBFC"/>
            <w:tcMar>
              <w:top w:w="78" w:type="dxa"/>
              <w:start w:w="68" w:type="dxa"/>
              <w:bottom w:w="78" w:type="dxa"/>
              <w:end w:w="68" w:type="dxa"/>
            </w:tcMar>
            <w:tcBorders>
              <w:bottom w:sz="2" w:val="single" w:color="D9DEE5"/>
            </w:tcBorders>
            <w:vAlign w:val="center"/>
          </w:tcPr>
          <w:p>
            <w:pPr>
              <w:keepLines/>
            </w:pPr>
            <w:r>
              <w:rPr>
                <w:rFonts w:ascii="Carlito" w:hAnsi="Carlito" w:eastAsia="Carlito"/>
                <w:b/>
                <w:color w:val="A61B1B"/>
                <w:sz w:val="17"/>
              </w:rPr>
              <w:t>Ouvert</w:t>
            </w:r>
          </w:p>
        </w:tc>
      </w:tr>
      <w:tr>
        <w:trPr>
          <w:trHeight w:hRule="atLeast"/>
        </w:trPr>
        <w:tc>
          <w:tcPr>
            <w:tcW w:type="dxa" w:w="2520"/>
            <w:tcMar>
              <w:top w:w="78" w:type="dxa"/>
              <w:start w:w="68" w:type="dxa"/>
              <w:bottom w:w="78" w:type="dxa"/>
              <w:end w:w="68" w:type="dxa"/>
            </w:tcMar>
            <w:tcBorders>
              <w:bottom w:sz="2" w:val="single" w:color="D9DEE5"/>
            </w:tcBorders>
            <w:vAlign w:val="center"/>
          </w:tcPr>
          <w:p>
            <w:pPr>
              <w:keepLines/>
            </w:pPr>
            <w:r>
              <w:rPr>
                <w:rFonts w:ascii="Carlito" w:hAnsi="Carlito" w:eastAsia="Carlito"/>
                <w:b/>
                <w:color w:val="17365D"/>
                <w:sz w:val="17"/>
              </w:rPr>
              <w:t>Données</w:t>
            </w:r>
          </w:p>
        </w:tc>
        <w:tc>
          <w:tcPr>
            <w:tcW w:type="dxa" w:w="3384"/>
            <w:tcMar>
              <w:top w:w="78" w:type="dxa"/>
              <w:start w:w="68" w:type="dxa"/>
              <w:bottom w:w="78" w:type="dxa"/>
              <w:end w:w="68" w:type="dxa"/>
            </w:tcMar>
            <w:tcBorders>
              <w:bottom w:sz="2" w:val="single" w:color="D9DEE5"/>
            </w:tcBorders>
            <w:vAlign w:val="center"/>
          </w:tcPr>
          <w:p>
            <w:pPr>
              <w:keepLines/>
            </w:pPr>
            <w:r>
              <w:rPr>
                <w:rFonts w:ascii="Carlito" w:hAnsi="Carlito" w:eastAsia="Carlito"/>
                <w:b w:val="0"/>
                <w:color w:val="40464D"/>
                <w:sz w:val="17"/>
              </w:rPr>
              <w:t>Aucune donnée sensible dans le pilote avant validation des conditions applicables.</w:t>
            </w:r>
          </w:p>
        </w:tc>
        <w:tc>
          <w:tcPr>
            <w:tcW w:type="dxa" w:w="2232"/>
            <w:tcMar>
              <w:top w:w="78" w:type="dxa"/>
              <w:start w:w="68" w:type="dxa"/>
              <w:bottom w:w="78" w:type="dxa"/>
              <w:end w:w="68" w:type="dxa"/>
            </w:tcMar>
            <w:tcBorders>
              <w:bottom w:sz="2" w:val="single" w:color="D9DEE5"/>
            </w:tcBorders>
            <w:vAlign w:val="center"/>
          </w:tcPr>
          <w:p>
            <w:pPr>
              <w:keepLines/>
            </w:pPr>
            <w:r>
              <w:rPr>
                <w:rFonts w:ascii="Carlito" w:hAnsi="Carlito" w:eastAsia="Carlito"/>
                <w:b w:val="0"/>
                <w:color w:val="40464D"/>
                <w:sz w:val="17"/>
              </w:rPr>
              <w:t>Conformité</w:t>
            </w:r>
          </w:p>
        </w:tc>
        <w:tc>
          <w:tcPr>
            <w:tcW w:type="dxa" w:w="2088"/>
            <w:tcMar>
              <w:top w:w="78" w:type="dxa"/>
              <w:start w:w="68" w:type="dxa"/>
              <w:bottom w:w="78" w:type="dxa"/>
              <w:end w:w="68" w:type="dxa"/>
            </w:tcMar>
            <w:tcBorders>
              <w:bottom w:sz="2" w:val="single" w:color="D9DEE5"/>
            </w:tcBorders>
            <w:vAlign w:val="center"/>
          </w:tcPr>
          <w:p>
            <w:pPr>
              <w:keepLines/>
            </w:pPr>
            <w:r>
              <w:rPr>
                <w:rFonts w:ascii="Carlito" w:hAnsi="Carlito" w:eastAsia="Carlito"/>
                <w:b/>
                <w:color w:val="2F7D32"/>
                <w:sz w:val="17"/>
              </w:rPr>
              <w:t>Principe établi</w:t>
            </w:r>
          </w:p>
        </w:tc>
      </w:tr>
    </w:tbl>
    <w:p>
      <w:pPr>
        <w:pStyle w:val="Heading1"/>
        <w:keepNext/>
      </w:pPr>
      <w:r>
        <w:t>11. Décisions et éléments ouverts</w:t>
      </w:r>
    </w:p>
    <w:p>
      <w:pPr>
        <w:spacing w:after="120" w:line="259" w:lineRule="auto"/>
      </w:pPr>
      <w:r>
        <w:t>Les éléments suivants doivent être traités dans les documents de travail et les instances de gouvernance appropriées. Leur présence dans cette section signifie qu’ils ne sont pas encore considérés comme des décisions finales de la présente charte.</w:t>
      </w:r>
    </w:p>
    <w:p>
      <w:pPr>
        <w:spacing w:after="80"/>
      </w:pPr>
      <w:r>
        <w:rPr>
          <w:rFonts w:ascii="Carlito" w:hAnsi="Carlito" w:eastAsia="Carlito"/>
          <w:b/>
          <w:color w:val="2F75B5"/>
          <w:sz w:val="20"/>
        </w:rPr>
        <w:t xml:space="preserve">Périmètre du pilote — </w:t>
      </w:r>
      <w:r>
        <w:rPr>
          <w:rFonts w:ascii="Carlito" w:hAnsi="Carlito" w:eastAsia="Carlito"/>
          <w:sz w:val="20"/>
        </w:rPr>
        <w:t>Confirmer la taille, les critères de sélection et la population de la première phase.</w:t>
      </w:r>
    </w:p>
    <w:p>
      <w:pPr>
        <w:spacing w:after="80"/>
      </w:pPr>
      <w:r>
        <w:rPr>
          <w:rFonts w:ascii="Carlito" w:hAnsi="Carlito" w:eastAsia="Carlito"/>
          <w:b/>
          <w:color w:val="2F75B5"/>
          <w:sz w:val="20"/>
        </w:rPr>
        <w:t xml:space="preserve">Budget consolidé — </w:t>
      </w:r>
      <w:r>
        <w:rPr>
          <w:rFonts w:ascii="Carlito" w:hAnsi="Carlito" w:eastAsia="Carlito"/>
          <w:sz w:val="20"/>
        </w:rPr>
        <w:t>Confirmer les dépenses détaillées et la source de financement, y compris les licences.</w:t>
      </w:r>
    </w:p>
    <w:p>
      <w:pPr>
        <w:spacing w:after="80"/>
      </w:pPr>
      <w:r>
        <w:rPr>
          <w:rFonts w:ascii="Carlito" w:hAnsi="Carlito" w:eastAsia="Carlito"/>
          <w:b/>
          <w:color w:val="2F75B5"/>
          <w:sz w:val="20"/>
        </w:rPr>
        <w:t xml:space="preserve">Licences — </w:t>
      </w:r>
      <w:r>
        <w:rPr>
          <w:rFonts w:ascii="Carlito" w:hAnsi="Carlito" w:eastAsia="Carlito"/>
          <w:sz w:val="20"/>
        </w:rPr>
        <w:t>Confirmer le modèle d’acquisition, les quantités, les coûts et les délais.</w:t>
      </w:r>
    </w:p>
    <w:p>
      <w:pPr>
        <w:spacing w:after="80"/>
      </w:pPr>
      <w:r>
        <w:rPr>
          <w:rFonts w:ascii="Carlito" w:hAnsi="Carlito" w:eastAsia="Carlito"/>
          <w:b/>
          <w:color w:val="2F75B5"/>
          <w:sz w:val="20"/>
        </w:rPr>
        <w:t xml:space="preserve">Ambassadeurs — </w:t>
      </w:r>
      <w:r>
        <w:rPr>
          <w:rFonts w:ascii="Carlito" w:hAnsi="Carlito" w:eastAsia="Carlito"/>
          <w:sz w:val="20"/>
        </w:rPr>
        <w:t>Définir la cible finale, les critères et la disponibilité du réseau.</w:t>
      </w:r>
    </w:p>
    <w:p>
      <w:pPr>
        <w:spacing w:after="80"/>
      </w:pPr>
      <w:r>
        <w:rPr>
          <w:rFonts w:ascii="Carlito" w:hAnsi="Carlito" w:eastAsia="Carlito"/>
          <w:b/>
          <w:color w:val="2F75B5"/>
          <w:sz w:val="20"/>
        </w:rPr>
        <w:t xml:space="preserve">Validation juridique — </w:t>
      </w:r>
      <w:r>
        <w:rPr>
          <w:rFonts w:ascii="Carlito" w:hAnsi="Carlito" w:eastAsia="Carlito"/>
          <w:sz w:val="20"/>
        </w:rPr>
        <w:t>Confirmer les conditions de données, confidentialité, conservation et communication.</w:t>
      </w:r>
    </w:p>
    <w:p>
      <w:pPr>
        <w:spacing w:after="80"/>
      </w:pPr>
      <w:r>
        <w:rPr>
          <w:rFonts w:ascii="Carlito" w:hAnsi="Carlito" w:eastAsia="Carlito"/>
          <w:b/>
          <w:color w:val="2F75B5"/>
          <w:sz w:val="20"/>
        </w:rPr>
        <w:t xml:space="preserve">Date de lancement — </w:t>
      </w:r>
      <w:r>
        <w:rPr>
          <w:rFonts w:ascii="Carlito" w:hAnsi="Carlito" w:eastAsia="Carlito"/>
          <w:sz w:val="20"/>
        </w:rPr>
        <w:t>Maintenir le 15 octobre comme cible tant que les conditions de préparation restent compatibles.</w:t>
      </w:r>
    </w:p>
    <w:p>
      <w:pPr>
        <w:spacing w:after="80"/>
      </w:pPr>
      <w:r>
        <w:rPr>
          <w:rFonts w:ascii="Carlito" w:hAnsi="Carlito" w:eastAsia="Carlito"/>
          <w:b/>
          <w:color w:val="2F75B5"/>
          <w:sz w:val="20"/>
        </w:rPr>
        <w:t xml:space="preserve">Propriété des espaces de travail — </w:t>
      </w:r>
      <w:r>
        <w:rPr>
          <w:rFonts w:ascii="Carlito" w:hAnsi="Carlito" w:eastAsia="Carlito"/>
          <w:sz w:val="20"/>
        </w:rPr>
        <w:t>Définir les responsabilités de gouvernance et de cycle de vie pour les espaces utilisés pendant le programme.</w:t>
      </w:r>
    </w:p>
    <w:tbl>
      <w:tblPr>
        <w:tblW w:type="auto" w:w="0"/>
        <w:jc w:val="center"/>
        <w:tblLayout w:type="autofit"/>
        <w:tblLook w:firstColumn="1" w:firstRow="1" w:lastColumn="0" w:lastRow="0" w:noHBand="0" w:noVBand="1" w:val="04A0"/>
      </w:tblPr>
      <w:tblGrid>
        <w:gridCol w:w="10166"/>
      </w:tblGrid>
      <w:tr>
        <w:trPr>
          <w:trHeight w:hRule="atLeast"/>
        </w:trPr>
        <w:tc>
          <w:tcPr>
            <w:tcW w:type="dxa" w:w="10166"/>
            <w:shd w:fill="FFF4E5"/>
            <w:tcBorders>
              <w:top w:sz="2" w:val="single" w:color="FFF4E5"/>
              <w:left w:sz="18" w:val="single" w:color="B7791F"/>
              <w:bottom w:sz="2" w:val="single" w:color="FFF4E5"/>
              <w:right w:sz="2" w:val="single" w:color="FFF4E5"/>
            </w:tcBorders>
            <w:tcMar>
              <w:top w:w="120" w:type="dxa"/>
              <w:start w:w="140" w:type="dxa"/>
              <w:bottom w:w="120" w:type="dxa"/>
              <w:end w:w="140" w:type="dxa"/>
            </w:tcMar>
            <w:vAlign w:val="center"/>
          </w:tcPr>
          <w:p>
            <w:pPr>
              <w:keepLines/>
              <w:spacing w:after="60"/>
            </w:pPr>
            <w:r>
              <w:rPr>
                <w:rFonts w:ascii="Carlito" w:hAnsi="Carlito" w:eastAsia="Carlito"/>
                <w:b/>
                <w:color w:val="17365D"/>
                <w:sz w:val="21"/>
              </w:rPr>
              <w:t>LECTURE DE LA CHARTE</w:t>
            </w:r>
          </w:p>
          <w:p>
            <w:pPr>
              <w:keepLines/>
              <w:spacing w:after="0"/>
            </w:pPr>
            <w:r>
              <w:rPr>
                <w:rFonts w:ascii="Carlito" w:hAnsi="Carlito" w:eastAsia="Carlito"/>
                <w:sz w:val="20"/>
              </w:rPr>
              <w:t>Cette version 1.0 fixe une référence de départ. Les valeurs, propositions et documents produits ultérieurement peuvent faire évoluer le projet, mais ils ne modifient pas automatiquement la charte tant qu’une décision formelle n’a pas été prise et documentée.</w:t>
            </w:r>
          </w:p>
        </w:tc>
      </w:tr>
    </w:tbl>
    <w:p>
      <w:pPr>
        <w:spacing w:after="20"/>
      </w:pPr>
    </w:p>
    <w:p>
      <w:r>
        <w:br w:type="page"/>
      </w:r>
    </w:p>
    <w:p>
      <w:pPr>
        <w:pStyle w:val="Heading1"/>
        <w:keepNext/>
      </w:pPr>
      <w:r>
        <w:t>12. Approbation et contrôle du document</w:t>
      </w:r>
    </w:p>
    <w:p>
      <w:pPr>
        <w:spacing w:after="120" w:line="259" w:lineRule="auto"/>
      </w:pPr>
      <w:r>
        <w:t>La présente charte autorise le cadrage et la préparation du Projet Atlas selon les paramètres décrits. Elle ne constitue pas une autorisation automatique d’engager les coûts de licences, de lancer une communication organisationnelle ou d’utiliser des données sensibles sans les validations prévues.</w:t>
      </w:r>
    </w:p>
    <w:tbl>
      <w:tblPr>
        <w:tblW w:type="auto" w:w="0"/>
        <w:jc w:val="center"/>
        <w:tblLayout w:type="fixed"/>
        <w:tblLook w:firstColumn="1" w:firstRow="1" w:lastColumn="0" w:lastRow="0" w:noHBand="0" w:noVBand="1" w:val="04A0"/>
      </w:tblPr>
      <w:tblGrid>
        <w:gridCol w:w="2520"/>
        <w:gridCol w:w="3168"/>
        <w:gridCol w:w="2376"/>
        <w:gridCol w:w="2088"/>
      </w:tblGrid>
      <w:tr>
        <w:trPr>
          <w:trHeight w:hRule="atLeast"/>
          <w:tblHeader w:val="true"/>
        </w:trPr>
        <w:tc>
          <w:tcPr>
            <w:tcW w:type="dxa" w:w="2541"/>
            <w:shd w:fill="2F75B5"/>
            <w:tcMar>
              <w:top w:w="95" w:type="dxa"/>
              <w:start w:w="80" w:type="dxa"/>
              <w:bottom w:w="95" w:type="dxa"/>
              <w:end w:w="80" w:type="dxa"/>
            </w:tcMar>
            <w:vAlign w:val="center"/>
          </w:tcPr>
          <w:p>
            <w:pPr>
              <w:keepLines/>
            </w:pPr>
            <w:r>
              <w:rPr>
                <w:rFonts w:ascii="Carlito" w:hAnsi="Carlito" w:eastAsia="Carlito"/>
                <w:b/>
                <w:color w:val="FFFFFF"/>
                <w:sz w:val="18"/>
              </w:rPr>
              <w:t>Rôle</w:t>
            </w:r>
          </w:p>
        </w:tc>
        <w:tc>
          <w:tcPr>
            <w:tcW w:type="dxa" w:w="2541"/>
            <w:shd w:fill="2F75B5"/>
            <w:tcMar>
              <w:top w:w="95" w:type="dxa"/>
              <w:start w:w="80" w:type="dxa"/>
              <w:bottom w:w="95" w:type="dxa"/>
              <w:end w:w="80" w:type="dxa"/>
            </w:tcMar>
            <w:vAlign w:val="center"/>
          </w:tcPr>
          <w:p>
            <w:pPr>
              <w:keepLines/>
            </w:pPr>
            <w:r>
              <w:rPr>
                <w:rFonts w:ascii="Carlito" w:hAnsi="Carlito" w:eastAsia="Carlito"/>
                <w:b/>
                <w:color w:val="FFFFFF"/>
                <w:sz w:val="18"/>
              </w:rPr>
              <w:t>Décision</w:t>
            </w:r>
          </w:p>
        </w:tc>
        <w:tc>
          <w:tcPr>
            <w:tcW w:type="dxa" w:w="2541"/>
            <w:shd w:fill="2F75B5"/>
            <w:tcMar>
              <w:top w:w="95" w:type="dxa"/>
              <w:start w:w="80" w:type="dxa"/>
              <w:bottom w:w="95" w:type="dxa"/>
              <w:end w:w="80" w:type="dxa"/>
            </w:tcMar>
            <w:vAlign w:val="center"/>
          </w:tcPr>
          <w:p>
            <w:pPr>
              <w:keepLines/>
            </w:pPr>
            <w:r>
              <w:rPr>
                <w:rFonts w:ascii="Carlito" w:hAnsi="Carlito" w:eastAsia="Carlito"/>
                <w:b/>
                <w:color w:val="FFFFFF"/>
                <w:sz w:val="18"/>
              </w:rPr>
              <w:t>Date</w:t>
            </w:r>
          </w:p>
        </w:tc>
        <w:tc>
          <w:tcPr>
            <w:tcW w:type="dxa" w:w="2541"/>
            <w:shd w:fill="2F75B5"/>
            <w:tcMar>
              <w:top w:w="95" w:type="dxa"/>
              <w:start w:w="80" w:type="dxa"/>
              <w:bottom w:w="95" w:type="dxa"/>
              <w:end w:w="80" w:type="dxa"/>
            </w:tcMar>
            <w:vAlign w:val="center"/>
          </w:tcPr>
          <w:p>
            <w:pPr>
              <w:keepLines/>
            </w:pPr>
            <w:r>
              <w:rPr>
                <w:rFonts w:ascii="Carlito" w:hAnsi="Carlito" w:eastAsia="Carlito"/>
                <w:b/>
                <w:color w:val="FFFFFF"/>
                <w:sz w:val="18"/>
              </w:rPr>
              <w:t>Statut</w:t>
            </w:r>
          </w:p>
        </w:tc>
      </w:tr>
      <w:tr>
        <w:trPr>
          <w:trHeight w:hRule="atLeast"/>
        </w:trPr>
        <w:tc>
          <w:tcPr>
            <w:tcW w:type="dxa" w:w="2520"/>
            <w:tcMar>
              <w:top w:w="85" w:type="dxa"/>
              <w:start w:w="70" w:type="dxa"/>
              <w:bottom w:w="85" w:type="dxa"/>
              <w:end w:w="70" w:type="dxa"/>
            </w:tcMar>
            <w:tcBorders>
              <w:bottom w:sz="2" w:val="single" w:color="D9DEE5"/>
            </w:tcBorders>
            <w:vAlign w:val="center"/>
          </w:tcPr>
          <w:p>
            <w:pPr>
              <w:keepLines/>
            </w:pPr>
            <w:r>
              <w:rPr>
                <w:rFonts w:ascii="Carlito" w:hAnsi="Carlito" w:eastAsia="Carlito"/>
                <w:b/>
                <w:color w:val="17365D"/>
                <w:sz w:val="17"/>
              </w:rPr>
              <w:t>Sponsor — Direction des Opérations</w:t>
            </w:r>
          </w:p>
        </w:tc>
        <w:tc>
          <w:tcPr>
            <w:tcW w:type="dxa" w:w="3168"/>
            <w:tcMar>
              <w:top w:w="85" w:type="dxa"/>
              <w:start w:w="70" w:type="dxa"/>
              <w:bottom w:w="85" w:type="dxa"/>
              <w:end w:w="70" w:type="dxa"/>
            </w:tcMar>
            <w:tcBorders>
              <w:bottom w:sz="2" w:val="single" w:color="D9DEE5"/>
            </w:tcBorders>
            <w:vAlign w:val="center"/>
          </w:tcPr>
          <w:p>
            <w:pPr>
              <w:keepLines/>
            </w:pPr>
            <w:r>
              <w:rPr>
                <w:rFonts w:ascii="Carlito" w:hAnsi="Carlito" w:eastAsia="Carlito"/>
                <w:b w:val="0"/>
                <w:color w:val="40464D"/>
                <w:sz w:val="17"/>
              </w:rPr>
              <w:t>Approbation du cadrage initial</w:t>
            </w:r>
          </w:p>
        </w:tc>
        <w:tc>
          <w:tcPr>
            <w:tcW w:type="dxa" w:w="2376"/>
            <w:tcMar>
              <w:top w:w="85" w:type="dxa"/>
              <w:start w:w="70" w:type="dxa"/>
              <w:bottom w:w="85" w:type="dxa"/>
              <w:end w:w="70" w:type="dxa"/>
            </w:tcMar>
            <w:tcBorders>
              <w:bottom w:sz="2" w:val="single" w:color="D9DEE5"/>
            </w:tcBorders>
            <w:vAlign w:val="center"/>
          </w:tcPr>
          <w:p>
            <w:pPr>
              <w:keepLines/>
            </w:pPr>
            <w:r>
              <w:rPr>
                <w:rFonts w:ascii="Carlito" w:hAnsi="Carlito" w:eastAsia="Carlito"/>
                <w:b w:val="0"/>
                <w:color w:val="40464D"/>
                <w:sz w:val="17"/>
              </w:rPr>
              <w:t>7 juillet 2026</w:t>
            </w:r>
          </w:p>
        </w:tc>
        <w:tc>
          <w:tcPr>
            <w:tcW w:type="dxa" w:w="2088"/>
            <w:tcMar>
              <w:top w:w="85" w:type="dxa"/>
              <w:start w:w="70" w:type="dxa"/>
              <w:bottom w:w="85" w:type="dxa"/>
              <w:end w:w="70" w:type="dxa"/>
            </w:tcMar>
            <w:tcBorders>
              <w:bottom w:sz="2" w:val="single" w:color="D9DEE5"/>
            </w:tcBorders>
            <w:vAlign w:val="center"/>
          </w:tcPr>
          <w:p>
            <w:pPr>
              <w:keepLines/>
            </w:pPr>
            <w:r>
              <w:rPr>
                <w:rFonts w:ascii="Carlito" w:hAnsi="Carlito" w:eastAsia="Carlito"/>
                <w:b/>
                <w:color w:val="2F7D32"/>
                <w:sz w:val="17"/>
              </w:rPr>
              <w:t>Approuvé</w:t>
            </w:r>
          </w:p>
        </w:tc>
      </w:tr>
      <w:tr>
        <w:trPr>
          <w:trHeight w:hRule="atLeast"/>
        </w:trPr>
        <w:tc>
          <w:tcPr>
            <w:tcW w:type="dxa" w:w="2520"/>
            <w:tcMar>
              <w:top w:w="85" w:type="dxa"/>
              <w:start w:w="70" w:type="dxa"/>
              <w:bottom w:w="85" w:type="dxa"/>
              <w:end w:w="70" w:type="dxa"/>
            </w:tcMar>
            <w:tcBorders>
              <w:bottom w:sz="2" w:val="single" w:color="D9DEE5"/>
            </w:tcBorders>
            <w:vAlign w:val="center"/>
          </w:tcPr>
          <w:p>
            <w:pPr>
              <w:keepLines/>
            </w:pPr>
            <w:r>
              <w:rPr>
                <w:rFonts w:ascii="Carlito" w:hAnsi="Carlito" w:eastAsia="Carlito"/>
                <w:b/>
                <w:color w:val="17365D"/>
                <w:sz w:val="17"/>
              </w:rPr>
              <w:t>Responsable de programme</w:t>
            </w:r>
          </w:p>
        </w:tc>
        <w:tc>
          <w:tcPr>
            <w:tcW w:type="dxa" w:w="3168"/>
            <w:tcMar>
              <w:top w:w="85" w:type="dxa"/>
              <w:start w:w="70" w:type="dxa"/>
              <w:bottom w:w="85" w:type="dxa"/>
              <w:end w:w="70" w:type="dxa"/>
            </w:tcMar>
            <w:tcBorders>
              <w:bottom w:sz="2" w:val="single" w:color="D9DEE5"/>
            </w:tcBorders>
            <w:vAlign w:val="center"/>
          </w:tcPr>
          <w:p>
            <w:pPr>
              <w:keepLines/>
            </w:pPr>
            <w:r>
              <w:rPr>
                <w:rFonts w:ascii="Carlito" w:hAnsi="Carlito" w:eastAsia="Carlito"/>
                <w:b w:val="0"/>
                <w:color w:val="40464D"/>
                <w:sz w:val="17"/>
              </w:rPr>
              <w:t>Acceptation de la charte comme base de travail</w:t>
            </w:r>
          </w:p>
        </w:tc>
        <w:tc>
          <w:tcPr>
            <w:tcW w:type="dxa" w:w="2376"/>
            <w:tcMar>
              <w:top w:w="85" w:type="dxa"/>
              <w:start w:w="70" w:type="dxa"/>
              <w:bottom w:w="85" w:type="dxa"/>
              <w:end w:w="70" w:type="dxa"/>
            </w:tcMar>
            <w:tcBorders>
              <w:bottom w:sz="2" w:val="single" w:color="D9DEE5"/>
            </w:tcBorders>
            <w:vAlign w:val="center"/>
          </w:tcPr>
          <w:p>
            <w:pPr>
              <w:keepLines/>
            </w:pPr>
            <w:r>
              <w:rPr>
                <w:rFonts w:ascii="Carlito" w:hAnsi="Carlito" w:eastAsia="Carlito"/>
                <w:b w:val="0"/>
                <w:color w:val="40464D"/>
                <w:sz w:val="17"/>
              </w:rPr>
              <w:t>7 juillet 2026</w:t>
            </w:r>
          </w:p>
        </w:tc>
        <w:tc>
          <w:tcPr>
            <w:tcW w:type="dxa" w:w="2088"/>
            <w:tcMar>
              <w:top w:w="85" w:type="dxa"/>
              <w:start w:w="70" w:type="dxa"/>
              <w:bottom w:w="85" w:type="dxa"/>
              <w:end w:w="70" w:type="dxa"/>
            </w:tcMar>
            <w:tcBorders>
              <w:bottom w:sz="2" w:val="single" w:color="D9DEE5"/>
            </w:tcBorders>
            <w:vAlign w:val="center"/>
          </w:tcPr>
          <w:p>
            <w:pPr>
              <w:keepLines/>
            </w:pPr>
            <w:r>
              <w:rPr>
                <w:rFonts w:ascii="Carlito" w:hAnsi="Carlito" w:eastAsia="Carlito"/>
                <w:b/>
                <w:color w:val="2F7D32"/>
                <w:sz w:val="17"/>
              </w:rPr>
              <w:t>Accepté</w:t>
            </w:r>
          </w:p>
        </w:tc>
      </w:tr>
      <w:tr>
        <w:trPr>
          <w:trHeight w:hRule="atLeast"/>
        </w:trPr>
        <w:tc>
          <w:tcPr>
            <w:tcW w:type="dxa" w:w="2520"/>
            <w:tcMar>
              <w:top w:w="85" w:type="dxa"/>
              <w:start w:w="70" w:type="dxa"/>
              <w:bottom w:w="85" w:type="dxa"/>
              <w:end w:w="70" w:type="dxa"/>
            </w:tcMar>
            <w:tcBorders>
              <w:bottom w:sz="2" w:val="single" w:color="D9DEE5"/>
            </w:tcBorders>
            <w:vAlign w:val="center"/>
          </w:tcPr>
          <w:p>
            <w:pPr>
              <w:keepLines/>
            </w:pPr>
            <w:r>
              <w:rPr>
                <w:rFonts w:ascii="Carlito" w:hAnsi="Carlito" w:eastAsia="Carlito"/>
                <w:b/>
                <w:color w:val="17365D"/>
                <w:sz w:val="17"/>
              </w:rPr>
              <w:t>Finance / Achats</w:t>
            </w:r>
          </w:p>
        </w:tc>
        <w:tc>
          <w:tcPr>
            <w:tcW w:type="dxa" w:w="3168"/>
            <w:tcMar>
              <w:top w:w="85" w:type="dxa"/>
              <w:start w:w="70" w:type="dxa"/>
              <w:bottom w:w="85" w:type="dxa"/>
              <w:end w:w="70" w:type="dxa"/>
            </w:tcMar>
            <w:tcBorders>
              <w:bottom w:sz="2" w:val="single" w:color="D9DEE5"/>
            </w:tcBorders>
            <w:vAlign w:val="center"/>
          </w:tcPr>
          <w:p>
            <w:pPr>
              <w:keepLines/>
            </w:pPr>
            <w:r>
              <w:rPr>
                <w:rFonts w:ascii="Carlito" w:hAnsi="Carlito" w:eastAsia="Carlito"/>
                <w:b w:val="0"/>
                <w:color w:val="40464D"/>
                <w:sz w:val="17"/>
              </w:rPr>
              <w:t>Validation du budget consolidé et des licences</w:t>
            </w:r>
          </w:p>
        </w:tc>
        <w:tc>
          <w:tcPr>
            <w:tcW w:type="dxa" w:w="2376"/>
            <w:tcMar>
              <w:top w:w="85" w:type="dxa"/>
              <w:start w:w="70" w:type="dxa"/>
              <w:bottom w:w="85" w:type="dxa"/>
              <w:end w:w="70" w:type="dxa"/>
            </w:tcMar>
            <w:tcBorders>
              <w:bottom w:sz="2" w:val="single" w:color="D9DEE5"/>
            </w:tcBorders>
            <w:vAlign w:val="center"/>
          </w:tcPr>
          <w:p>
            <w:pPr>
              <w:keepLines/>
            </w:pPr>
            <w:r>
              <w:rPr>
                <w:rFonts w:ascii="Carlito" w:hAnsi="Carlito" w:eastAsia="Carlito"/>
                <w:b w:val="0"/>
                <w:color w:val="40464D"/>
                <w:sz w:val="17"/>
              </w:rPr>
              <w:t>À venir</w:t>
            </w:r>
          </w:p>
        </w:tc>
        <w:tc>
          <w:tcPr>
            <w:tcW w:type="dxa" w:w="2088"/>
            <w:tcMar>
              <w:top w:w="85" w:type="dxa"/>
              <w:start w:w="70" w:type="dxa"/>
              <w:bottom w:w="85" w:type="dxa"/>
              <w:end w:w="70" w:type="dxa"/>
            </w:tcMar>
            <w:tcBorders>
              <w:bottom w:sz="2" w:val="single" w:color="D9DEE5"/>
            </w:tcBorders>
            <w:vAlign w:val="center"/>
          </w:tcPr>
          <w:p>
            <w:pPr>
              <w:keepLines/>
            </w:pPr>
            <w:r>
              <w:rPr>
                <w:rFonts w:ascii="Carlito" w:hAnsi="Carlito" w:eastAsia="Carlito"/>
                <w:b/>
                <w:color w:val="A61B1B"/>
                <w:sz w:val="17"/>
              </w:rPr>
              <w:t>Ouvert</w:t>
            </w:r>
          </w:p>
        </w:tc>
      </w:tr>
      <w:tr>
        <w:trPr>
          <w:trHeight w:hRule="atLeast"/>
        </w:trPr>
        <w:tc>
          <w:tcPr>
            <w:tcW w:type="dxa" w:w="2520"/>
            <w:tcMar>
              <w:top w:w="85" w:type="dxa"/>
              <w:start w:w="70" w:type="dxa"/>
              <w:bottom w:w="85" w:type="dxa"/>
              <w:end w:w="70" w:type="dxa"/>
            </w:tcMar>
            <w:tcBorders>
              <w:bottom w:sz="2" w:val="single" w:color="D9DEE5"/>
            </w:tcBorders>
            <w:vAlign w:val="center"/>
          </w:tcPr>
          <w:p>
            <w:pPr>
              <w:keepLines/>
            </w:pPr>
            <w:r>
              <w:rPr>
                <w:rFonts w:ascii="Carlito" w:hAnsi="Carlito" w:eastAsia="Carlito"/>
                <w:b/>
                <w:color w:val="17365D"/>
                <w:sz w:val="17"/>
              </w:rPr>
              <w:t>Juridique / Conformité</w:t>
            </w:r>
          </w:p>
        </w:tc>
        <w:tc>
          <w:tcPr>
            <w:tcW w:type="dxa" w:w="3168"/>
            <w:tcMar>
              <w:top w:w="85" w:type="dxa"/>
              <w:start w:w="70" w:type="dxa"/>
              <w:bottom w:w="85" w:type="dxa"/>
              <w:end w:w="70" w:type="dxa"/>
            </w:tcMar>
            <w:tcBorders>
              <w:bottom w:sz="2" w:val="single" w:color="D9DEE5"/>
            </w:tcBorders>
            <w:vAlign w:val="center"/>
          </w:tcPr>
          <w:p>
            <w:pPr>
              <w:keepLines/>
            </w:pPr>
            <w:r>
              <w:rPr>
                <w:rFonts w:ascii="Carlito" w:hAnsi="Carlito" w:eastAsia="Carlito"/>
                <w:b w:val="0"/>
                <w:color w:val="40464D"/>
                <w:sz w:val="17"/>
              </w:rPr>
              <w:t>Validation des conditions de lancement</w:t>
            </w:r>
          </w:p>
        </w:tc>
        <w:tc>
          <w:tcPr>
            <w:tcW w:type="dxa" w:w="2376"/>
            <w:tcMar>
              <w:top w:w="85" w:type="dxa"/>
              <w:start w:w="70" w:type="dxa"/>
              <w:bottom w:w="85" w:type="dxa"/>
              <w:end w:w="70" w:type="dxa"/>
            </w:tcMar>
            <w:tcBorders>
              <w:bottom w:sz="2" w:val="single" w:color="D9DEE5"/>
            </w:tcBorders>
            <w:vAlign w:val="center"/>
          </w:tcPr>
          <w:p>
            <w:pPr>
              <w:keepLines/>
            </w:pPr>
            <w:r>
              <w:rPr>
                <w:rFonts w:ascii="Carlito" w:hAnsi="Carlito" w:eastAsia="Carlito"/>
                <w:b w:val="0"/>
                <w:color w:val="40464D"/>
                <w:sz w:val="17"/>
              </w:rPr>
              <w:t>À venir</w:t>
            </w:r>
          </w:p>
        </w:tc>
        <w:tc>
          <w:tcPr>
            <w:tcW w:type="dxa" w:w="2088"/>
            <w:tcMar>
              <w:top w:w="85" w:type="dxa"/>
              <w:start w:w="70" w:type="dxa"/>
              <w:bottom w:w="85" w:type="dxa"/>
              <w:end w:w="70" w:type="dxa"/>
            </w:tcMar>
            <w:tcBorders>
              <w:bottom w:sz="2" w:val="single" w:color="D9DEE5"/>
            </w:tcBorders>
            <w:vAlign w:val="center"/>
          </w:tcPr>
          <w:p>
            <w:pPr>
              <w:keepLines/>
            </w:pPr>
            <w:r>
              <w:rPr>
                <w:rFonts w:ascii="Carlito" w:hAnsi="Carlito" w:eastAsia="Carlito"/>
                <w:b/>
                <w:color w:val="A61B1B"/>
                <w:sz w:val="17"/>
              </w:rPr>
              <w:t>Ouvert</w:t>
            </w:r>
          </w:p>
        </w:tc>
      </w:tr>
    </w:tbl>
    <w:p>
      <w:pPr>
        <w:pStyle w:val="Heading2"/>
        <w:keepNext/>
      </w:pPr>
      <w:r>
        <w:t>12.1 Historique des versions</w:t>
      </w:r>
    </w:p>
    <w:tbl>
      <w:tblPr>
        <w:tblW w:type="auto" w:w="0"/>
        <w:jc w:val="center"/>
        <w:tblLayout w:type="fixed"/>
        <w:tblLook w:firstColumn="1" w:firstRow="1" w:lastColumn="0" w:lastRow="0" w:noHBand="0" w:noVBand="1" w:val="04A0"/>
      </w:tblPr>
      <w:tblGrid>
        <w:gridCol w:w="1584"/>
        <w:gridCol w:w="2232"/>
        <w:gridCol w:w="2232"/>
        <w:gridCol w:w="4392"/>
      </w:tblGrid>
      <w:tr>
        <w:trPr>
          <w:trHeight w:hRule="atLeast"/>
          <w:tblHeader w:val="true"/>
        </w:trPr>
        <w:tc>
          <w:tcPr>
            <w:tcW w:type="dxa" w:w="2541"/>
            <w:shd w:fill="F2F4F7"/>
            <w:tcMar>
              <w:top w:w="90" w:type="dxa"/>
              <w:start w:w="75" w:type="dxa"/>
              <w:bottom w:w="90" w:type="dxa"/>
              <w:end w:w="75" w:type="dxa"/>
            </w:tcMar>
            <w:vAlign w:val="center"/>
          </w:tcPr>
          <w:p>
            <w:pPr>
              <w:keepLines/>
            </w:pPr>
            <w:r>
              <w:rPr>
                <w:rFonts w:ascii="Carlito" w:hAnsi="Carlito" w:eastAsia="Carlito"/>
                <w:b/>
                <w:color w:val="17365D"/>
                <w:sz w:val="17"/>
              </w:rPr>
              <w:t>Version</w:t>
            </w:r>
          </w:p>
        </w:tc>
        <w:tc>
          <w:tcPr>
            <w:tcW w:type="dxa" w:w="2541"/>
            <w:shd w:fill="F2F4F7"/>
            <w:tcMar>
              <w:top w:w="90" w:type="dxa"/>
              <w:start w:w="75" w:type="dxa"/>
              <w:bottom w:w="90" w:type="dxa"/>
              <w:end w:w="75" w:type="dxa"/>
            </w:tcMar>
            <w:vAlign w:val="center"/>
          </w:tcPr>
          <w:p>
            <w:pPr>
              <w:keepLines/>
            </w:pPr>
            <w:r>
              <w:rPr>
                <w:rFonts w:ascii="Carlito" w:hAnsi="Carlito" w:eastAsia="Carlito"/>
                <w:b/>
                <w:color w:val="17365D"/>
                <w:sz w:val="17"/>
              </w:rPr>
              <w:t>Date</w:t>
            </w:r>
          </w:p>
        </w:tc>
        <w:tc>
          <w:tcPr>
            <w:tcW w:type="dxa" w:w="2541"/>
            <w:shd w:fill="F2F4F7"/>
            <w:tcMar>
              <w:top w:w="90" w:type="dxa"/>
              <w:start w:w="75" w:type="dxa"/>
              <w:bottom w:w="90" w:type="dxa"/>
              <w:end w:w="75" w:type="dxa"/>
            </w:tcMar>
            <w:vAlign w:val="center"/>
          </w:tcPr>
          <w:p>
            <w:pPr>
              <w:keepLines/>
            </w:pPr>
            <w:r>
              <w:rPr>
                <w:rFonts w:ascii="Carlito" w:hAnsi="Carlito" w:eastAsia="Carlito"/>
                <w:b/>
                <w:color w:val="17365D"/>
                <w:sz w:val="17"/>
              </w:rPr>
              <w:t>Auteur / propriétaire</w:t>
            </w:r>
          </w:p>
        </w:tc>
        <w:tc>
          <w:tcPr>
            <w:tcW w:type="dxa" w:w="2541"/>
            <w:shd w:fill="F2F4F7"/>
            <w:tcMar>
              <w:top w:w="90" w:type="dxa"/>
              <w:start w:w="75" w:type="dxa"/>
              <w:bottom w:w="90" w:type="dxa"/>
              <w:end w:w="75" w:type="dxa"/>
            </w:tcMar>
            <w:vAlign w:val="center"/>
          </w:tcPr>
          <w:p>
            <w:pPr>
              <w:keepLines/>
            </w:pPr>
            <w:r>
              <w:rPr>
                <w:rFonts w:ascii="Carlito" w:hAnsi="Carlito" w:eastAsia="Carlito"/>
                <w:b/>
                <w:color w:val="17365D"/>
                <w:sz w:val="17"/>
              </w:rPr>
              <w:t>Description</w:t>
            </w:r>
          </w:p>
        </w:tc>
      </w:tr>
      <w:tr>
        <w:trPr>
          <w:trHeight w:hRule="atLeast"/>
        </w:trPr>
        <w:tc>
          <w:tcPr>
            <w:tcW w:type="dxa" w:w="1584"/>
            <w:tcMar>
              <w:top w:w="75" w:type="dxa"/>
              <w:start w:w="65" w:type="dxa"/>
              <w:bottom w:w="75" w:type="dxa"/>
              <w:end w:w="65" w:type="dxa"/>
            </w:tcMar>
            <w:tcBorders>
              <w:bottom w:sz="2" w:val="single" w:color="D9DEE5"/>
            </w:tcBorders>
            <w:vAlign w:val="center"/>
          </w:tcPr>
          <w:p>
            <w:pPr>
              <w:keepLines/>
            </w:pPr>
            <w:r>
              <w:rPr>
                <w:rFonts w:ascii="Carlito" w:hAnsi="Carlito" w:eastAsia="Carlito"/>
                <w:b/>
                <w:color w:val="17365D"/>
                <w:sz w:val="17"/>
              </w:rPr>
              <w:t>0.7</w:t>
            </w:r>
          </w:p>
        </w:tc>
        <w:tc>
          <w:tcPr>
            <w:tcW w:type="dxa" w:w="2232"/>
            <w:tcMar>
              <w:top w:w="75" w:type="dxa"/>
              <w:start w:w="65" w:type="dxa"/>
              <w:bottom w:w="75" w:type="dxa"/>
              <w:end w:w="65" w:type="dxa"/>
            </w:tcMar>
            <w:tcBorders>
              <w:bottom w:sz="2" w:val="single" w:color="D9DEE5"/>
            </w:tcBorders>
            <w:vAlign w:val="center"/>
          </w:tcPr>
          <w:p>
            <w:pPr>
              <w:keepLines/>
            </w:pPr>
            <w:r>
              <w:rPr>
                <w:rFonts w:ascii="Carlito" w:hAnsi="Carlito" w:eastAsia="Carlito"/>
                <w:b w:val="0"/>
                <w:color w:val="40464D"/>
                <w:sz w:val="17"/>
              </w:rPr>
              <w:t>24 juin 2026</w:t>
            </w:r>
          </w:p>
        </w:tc>
        <w:tc>
          <w:tcPr>
            <w:tcW w:type="dxa" w:w="2232"/>
            <w:tcMar>
              <w:top w:w="75" w:type="dxa"/>
              <w:start w:w="65" w:type="dxa"/>
              <w:bottom w:w="75" w:type="dxa"/>
              <w:end w:w="65" w:type="dxa"/>
            </w:tcMar>
            <w:tcBorders>
              <w:bottom w:sz="2" w:val="single" w:color="D9DEE5"/>
            </w:tcBorders>
            <w:vAlign w:val="center"/>
          </w:tcPr>
          <w:p>
            <w:pPr>
              <w:keepLines/>
            </w:pPr>
            <w:r>
              <w:rPr>
                <w:rFonts w:ascii="Carlito" w:hAnsi="Carlito" w:eastAsia="Carlito"/>
                <w:b w:val="0"/>
                <w:color w:val="40464D"/>
                <w:sz w:val="17"/>
              </w:rPr>
              <w:t>Programme Atlas</w:t>
            </w:r>
          </w:p>
        </w:tc>
        <w:tc>
          <w:tcPr>
            <w:tcW w:type="dxa" w:w="4392"/>
            <w:tcMar>
              <w:top w:w="75" w:type="dxa"/>
              <w:start w:w="65" w:type="dxa"/>
              <w:bottom w:w="75" w:type="dxa"/>
              <w:end w:w="65" w:type="dxa"/>
            </w:tcMar>
            <w:tcBorders>
              <w:bottom w:sz="2" w:val="single" w:color="D9DEE5"/>
            </w:tcBorders>
            <w:vAlign w:val="center"/>
          </w:tcPr>
          <w:p>
            <w:pPr>
              <w:keepLines/>
            </w:pPr>
            <w:r>
              <w:rPr>
                <w:rFonts w:ascii="Carlito" w:hAnsi="Carlito" w:eastAsia="Carlito"/>
                <w:b w:val="0"/>
                <w:color w:val="40464D"/>
                <w:sz w:val="17"/>
              </w:rPr>
              <w:t>Première version de travail du cadrage.</w:t>
            </w:r>
          </w:p>
        </w:tc>
      </w:tr>
      <w:tr>
        <w:trPr>
          <w:trHeight w:hRule="atLeast"/>
        </w:trPr>
        <w:tc>
          <w:tcPr>
            <w:tcW w:type="dxa" w:w="1584"/>
            <w:tcMar>
              <w:top w:w="75" w:type="dxa"/>
              <w:start w:w="65" w:type="dxa"/>
              <w:bottom w:w="75" w:type="dxa"/>
              <w:end w:w="65" w:type="dxa"/>
            </w:tcMar>
            <w:tcBorders>
              <w:bottom w:sz="2" w:val="single" w:color="D9DEE5"/>
            </w:tcBorders>
            <w:vAlign w:val="center"/>
          </w:tcPr>
          <w:p>
            <w:pPr>
              <w:keepLines/>
            </w:pPr>
            <w:r>
              <w:rPr>
                <w:rFonts w:ascii="Carlito" w:hAnsi="Carlito" w:eastAsia="Carlito"/>
                <w:b/>
                <w:color w:val="17365D"/>
                <w:sz w:val="17"/>
              </w:rPr>
              <w:t>0.9</w:t>
            </w:r>
          </w:p>
        </w:tc>
        <w:tc>
          <w:tcPr>
            <w:tcW w:type="dxa" w:w="2232"/>
            <w:tcMar>
              <w:top w:w="75" w:type="dxa"/>
              <w:start w:w="65" w:type="dxa"/>
              <w:bottom w:w="75" w:type="dxa"/>
              <w:end w:w="65" w:type="dxa"/>
            </w:tcMar>
            <w:tcBorders>
              <w:bottom w:sz="2" w:val="single" w:color="D9DEE5"/>
            </w:tcBorders>
            <w:vAlign w:val="center"/>
          </w:tcPr>
          <w:p>
            <w:pPr>
              <w:keepLines/>
            </w:pPr>
            <w:r>
              <w:rPr>
                <w:rFonts w:ascii="Carlito" w:hAnsi="Carlito" w:eastAsia="Carlito"/>
                <w:b w:val="0"/>
                <w:color w:val="40464D"/>
                <w:sz w:val="17"/>
              </w:rPr>
              <w:t>3 juillet 2026</w:t>
            </w:r>
          </w:p>
        </w:tc>
        <w:tc>
          <w:tcPr>
            <w:tcW w:type="dxa" w:w="2232"/>
            <w:tcMar>
              <w:top w:w="75" w:type="dxa"/>
              <w:start w:w="65" w:type="dxa"/>
              <w:bottom w:w="75" w:type="dxa"/>
              <w:end w:w="65" w:type="dxa"/>
            </w:tcMar>
            <w:tcBorders>
              <w:bottom w:sz="2" w:val="single" w:color="D9DEE5"/>
            </w:tcBorders>
            <w:vAlign w:val="center"/>
          </w:tcPr>
          <w:p>
            <w:pPr>
              <w:keepLines/>
            </w:pPr>
            <w:r>
              <w:rPr>
                <w:rFonts w:ascii="Carlito" w:hAnsi="Carlito" w:eastAsia="Carlito"/>
                <w:b w:val="0"/>
                <w:color w:val="40464D"/>
                <w:sz w:val="17"/>
              </w:rPr>
              <w:t>Programme Atlas</w:t>
            </w:r>
          </w:p>
        </w:tc>
        <w:tc>
          <w:tcPr>
            <w:tcW w:type="dxa" w:w="4392"/>
            <w:tcMar>
              <w:top w:w="75" w:type="dxa"/>
              <w:start w:w="65" w:type="dxa"/>
              <w:bottom w:w="75" w:type="dxa"/>
              <w:end w:w="65" w:type="dxa"/>
            </w:tcMar>
            <w:tcBorders>
              <w:bottom w:sz="2" w:val="single" w:color="D9DEE5"/>
            </w:tcBorders>
            <w:vAlign w:val="center"/>
          </w:tcPr>
          <w:p>
            <w:pPr>
              <w:keepLines/>
            </w:pPr>
            <w:r>
              <w:rPr>
                <w:rFonts w:ascii="Carlito" w:hAnsi="Carlito" w:eastAsia="Carlito"/>
                <w:b w:val="0"/>
                <w:color w:val="40464D"/>
                <w:sz w:val="17"/>
              </w:rPr>
              <w:t>Révision des objectifs, du calendrier et de la gouvernance.</w:t>
            </w:r>
          </w:p>
        </w:tc>
      </w:tr>
      <w:tr>
        <w:trPr>
          <w:trHeight w:hRule="atLeast"/>
        </w:trPr>
        <w:tc>
          <w:tcPr>
            <w:tcW w:type="dxa" w:w="1584"/>
            <w:tcMar>
              <w:top w:w="75" w:type="dxa"/>
              <w:start w:w="65" w:type="dxa"/>
              <w:bottom w:w="75" w:type="dxa"/>
              <w:end w:w="65" w:type="dxa"/>
            </w:tcMar>
            <w:tcBorders>
              <w:bottom w:sz="2" w:val="single" w:color="D9DEE5"/>
            </w:tcBorders>
            <w:vAlign w:val="center"/>
          </w:tcPr>
          <w:p>
            <w:pPr>
              <w:keepLines/>
            </w:pPr>
            <w:r>
              <w:rPr>
                <w:rFonts w:ascii="Carlito" w:hAnsi="Carlito" w:eastAsia="Carlito"/>
                <w:b/>
                <w:color w:val="17365D"/>
                <w:sz w:val="17"/>
              </w:rPr>
              <w:t>1.0</w:t>
            </w:r>
          </w:p>
        </w:tc>
        <w:tc>
          <w:tcPr>
            <w:tcW w:type="dxa" w:w="2232"/>
            <w:tcMar>
              <w:top w:w="75" w:type="dxa"/>
              <w:start w:w="65" w:type="dxa"/>
              <w:bottom w:w="75" w:type="dxa"/>
              <w:end w:w="65" w:type="dxa"/>
            </w:tcMar>
            <w:tcBorders>
              <w:bottom w:sz="2" w:val="single" w:color="D9DEE5"/>
            </w:tcBorders>
            <w:vAlign w:val="center"/>
          </w:tcPr>
          <w:p>
            <w:pPr>
              <w:keepLines/>
            </w:pPr>
            <w:r>
              <w:rPr>
                <w:rFonts w:ascii="Carlito" w:hAnsi="Carlito" w:eastAsia="Carlito"/>
                <w:b w:val="0"/>
                <w:color w:val="40464D"/>
                <w:sz w:val="17"/>
              </w:rPr>
              <w:t>7 juillet 2026</w:t>
            </w:r>
          </w:p>
        </w:tc>
        <w:tc>
          <w:tcPr>
            <w:tcW w:type="dxa" w:w="2232"/>
            <w:tcMar>
              <w:top w:w="75" w:type="dxa"/>
              <w:start w:w="65" w:type="dxa"/>
              <w:bottom w:w="75" w:type="dxa"/>
              <w:end w:w="65" w:type="dxa"/>
            </w:tcMar>
            <w:tcBorders>
              <w:bottom w:sz="2" w:val="single" w:color="D9DEE5"/>
            </w:tcBorders>
            <w:vAlign w:val="center"/>
          </w:tcPr>
          <w:p>
            <w:pPr>
              <w:keepLines/>
            </w:pPr>
            <w:r>
              <w:rPr>
                <w:rFonts w:ascii="Carlito" w:hAnsi="Carlito" w:eastAsia="Carlito"/>
                <w:b w:val="0"/>
                <w:color w:val="40464D"/>
                <w:sz w:val="17"/>
              </w:rPr>
              <w:t>Programme Atlas</w:t>
            </w:r>
          </w:p>
        </w:tc>
        <w:tc>
          <w:tcPr>
            <w:tcW w:type="dxa" w:w="4392"/>
            <w:tcMar>
              <w:top w:w="75" w:type="dxa"/>
              <w:start w:w="65" w:type="dxa"/>
              <w:bottom w:w="75" w:type="dxa"/>
              <w:end w:w="65" w:type="dxa"/>
            </w:tcMar>
            <w:tcBorders>
              <w:bottom w:sz="2" w:val="single" w:color="D9DEE5"/>
            </w:tcBorders>
            <w:vAlign w:val="center"/>
          </w:tcPr>
          <w:p>
            <w:pPr>
              <w:keepLines/>
            </w:pPr>
            <w:r>
              <w:rPr>
                <w:rFonts w:ascii="Carlito" w:hAnsi="Carlito" w:eastAsia="Carlito"/>
                <w:b w:val="0"/>
                <w:color w:val="40464D"/>
                <w:sz w:val="17"/>
              </w:rPr>
              <w:t>Version approuvée pour cadrage initial.</w:t>
            </w:r>
          </w:p>
        </w:tc>
      </w:tr>
    </w:tbl>
    <w:p>
      <w:pPr>
        <w:pStyle w:val="Heading1"/>
        <w:keepNext/>
      </w:pPr>
      <w:r>
        <w:t>13. Références associées prévues</w:t>
      </w:r>
    </w:p>
    <w:p>
      <w:pPr>
        <w:spacing w:after="120" w:line="259" w:lineRule="auto"/>
      </w:pPr>
      <w:r>
        <w:t>Les documents suivants seront produits ou maintenus séparément de la charte. Ils pourront contenir des hypothèses ou valeurs plus détaillées qui devront être interprétées selon leur statut et leur date.</w:t>
      </w:r>
    </w:p>
    <w:p>
      <w:pPr>
        <w:pStyle w:val="ListBullet"/>
        <w:keepLines/>
        <w:spacing w:after="40"/>
      </w:pPr>
      <w:r>
        <w:t>Budget prévisionnel Atlas.xlsx</w:t>
      </w:r>
    </w:p>
    <w:p>
      <w:pPr>
        <w:pStyle w:val="ListBullet"/>
        <w:keepLines/>
        <w:spacing w:after="40"/>
      </w:pPr>
      <w:r>
        <w:t>Registre des risques Atlas.xlsx</w:t>
      </w:r>
    </w:p>
    <w:p>
      <w:pPr>
        <w:pStyle w:val="ListBullet"/>
        <w:keepLines/>
        <w:spacing w:after="40"/>
      </w:pPr>
      <w:r>
        <w:t>Plan de déploiement Atlas — Brouillon.docx</w:t>
      </w:r>
    </w:p>
    <w:p>
      <w:pPr>
        <w:pStyle w:val="ListBullet"/>
        <w:keepLines/>
        <w:spacing w:after="40"/>
      </w:pPr>
      <w:r>
        <w:t>Critères de sélection du pilote — Brouillon.docx</w:t>
      </w:r>
    </w:p>
    <w:p>
      <w:pPr>
        <w:pStyle w:val="ListBullet"/>
        <w:keepLines/>
        <w:spacing w:after="40"/>
      </w:pPr>
      <w:r>
        <w:t>Plan de formation Atlas.docx</w:t>
      </w:r>
    </w:p>
    <w:p>
      <w:pPr>
        <w:pStyle w:val="ListBullet"/>
        <w:keepLines/>
        <w:spacing w:after="40"/>
      </w:pPr>
      <w:r>
        <w:t>Présentation du Programme Atlas.pptx</w:t>
      </w:r>
    </w:p>
    <w:p>
      <w:pPr>
        <w:pStyle w:val="ListBullet"/>
        <w:keepLines/>
        <w:spacing w:after="40"/>
      </w:pPr>
      <w:r>
        <w:t>Synthèse Achats et Juridique.pdf</w:t>
      </w:r>
    </w:p>
    <w:p>
      <w:pPr>
        <w:pStyle w:val="ListBullet"/>
        <w:keepLines/>
        <w:spacing w:after="40"/>
      </w:pPr>
      <w:r>
        <w:t>Comptes rendus et transcriptions des réunions du Projet Atlas.</w:t>
      </w:r>
    </w:p>
    <w:tbl>
      <w:tblPr>
        <w:tblW w:type="auto" w:w="0"/>
        <w:jc w:val="center"/>
        <w:tblLayout w:type="autofit"/>
        <w:tblLook w:firstColumn="1" w:firstRow="1" w:lastColumn="0" w:lastRow="0" w:noHBand="0" w:noVBand="1" w:val="04A0"/>
      </w:tblPr>
      <w:tblGrid>
        <w:gridCol w:w="10166"/>
      </w:tblGrid>
      <w:tr>
        <w:trPr>
          <w:trHeight w:hRule="atLeast"/>
        </w:trPr>
        <w:tc>
          <w:tcPr>
            <w:tcW w:type="dxa" w:w="10166"/>
            <w:shd w:fill="E5F2F2"/>
            <w:tcBorders>
              <w:top w:sz="2" w:val="single" w:color="E5F2F2"/>
              <w:left w:sz="18" w:val="single" w:color="2E8B8B"/>
              <w:bottom w:sz="2" w:val="single" w:color="E5F2F2"/>
              <w:right w:sz="2" w:val="single" w:color="E5F2F2"/>
            </w:tcBorders>
            <w:tcMar>
              <w:top w:w="120" w:type="dxa"/>
              <w:start w:w="140" w:type="dxa"/>
              <w:bottom w:w="120" w:type="dxa"/>
              <w:end w:w="140" w:type="dxa"/>
            </w:tcMar>
            <w:vAlign w:val="center"/>
          </w:tcPr>
          <w:p>
            <w:pPr>
              <w:keepLines/>
              <w:spacing w:after="60"/>
            </w:pPr>
            <w:r>
              <w:rPr>
                <w:rFonts w:ascii="Carlito" w:hAnsi="Carlito" w:eastAsia="Carlito"/>
                <w:b/>
                <w:color w:val="17365D"/>
                <w:sz w:val="21"/>
              </w:rPr>
              <w:t>RÉFÉRENCE DOCUMENTAIRE</w:t>
            </w:r>
          </w:p>
          <w:p>
            <w:pPr>
              <w:keepLines/>
              <w:spacing w:after="0"/>
            </w:pPr>
            <w:r>
              <w:rPr>
                <w:rFonts w:ascii="Carlito" w:hAnsi="Carlito" w:eastAsia="Carlito"/>
                <w:sz w:val="20"/>
              </w:rPr>
              <w:t>En cas de divergence entre plusieurs documents, le lecteur doit vérifier la date, le statut, l’autorité de la source et l’existence d’une décision formelle avant de conclure qu’une valeur remplace une autre.</w:t>
            </w:r>
          </w:p>
        </w:tc>
      </w:tr>
    </w:tbl>
    <w:p>
      <w:pPr>
        <w:spacing w:after="20"/>
      </w:pPr>
    </w:p>
    <w:sectPr w:rsidR="00FC693F" w:rsidRPr="0006063C" w:rsidSect="00034616">
      <w:headerReference w:type="default" r:id="rId9"/>
      <w:footerReference w:type="default" r:id="rId10"/>
      <w:pgSz w:w="12240" w:h="15840"/>
      <w:pgMar w:top="936" w:right="1037" w:bottom="936" w:left="1037"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ayout w:type="fixed"/>
      <w:tblLook w:firstColumn="1" w:firstRow="1" w:lastColumn="0" w:lastRow="0" w:noHBand="0" w:noVBand="1" w:val="04A0"/>
    </w:tblPr>
    <w:tblGrid>
      <w:gridCol w:w="3240"/>
      <w:gridCol w:w="3672"/>
      <w:gridCol w:w="3240"/>
    </w:tblGrid>
    <w:tr>
      <w:tc>
        <w:tcPr>
          <w:tcW w:type="dxa" w:w="3384"/>
          <w:tcBorders>
            <w:top w:sz="4" w:val="single" w:color="D9DEE5"/>
          </w:tcBorders>
          <w:tcMar>
            <w:top w:w="70" w:type="dxa"/>
            <w:start w:w="20" w:type="dxa"/>
            <w:bottom w:w="0" w:type="dxa"/>
            <w:end w:w="20" w:type="dxa"/>
          </w:tcMar>
        </w:tcPr>
        <w:p>
          <w:pPr>
            <w:jc w:val="left"/>
          </w:pPr>
          <w:r>
            <w:rPr>
              <w:rFonts w:ascii="Carlito" w:hAnsi="Carlito" w:eastAsia="Carlito"/>
              <w:color w:val="40464D"/>
              <w:sz w:val="15"/>
            </w:rPr>
            <w:t>INTERNE — PROJET ATLAS</w:t>
          </w:r>
        </w:p>
      </w:tc>
      <w:tc>
        <w:tcPr>
          <w:tcW w:type="dxa" w:w="3384"/>
          <w:tcBorders>
            <w:top w:sz="4" w:val="single" w:color="D9DEE5"/>
          </w:tcBorders>
          <w:tcMar>
            <w:top w:w="70" w:type="dxa"/>
            <w:start w:w="20" w:type="dxa"/>
            <w:bottom w:w="0" w:type="dxa"/>
            <w:end w:w="20" w:type="dxa"/>
          </w:tcMar>
        </w:tcPr>
        <w:p>
          <w:pPr>
            <w:jc w:val="center"/>
          </w:pPr>
          <w:r>
            <w:rPr>
              <w:rFonts w:ascii="Carlito" w:hAnsi="Carlito" w:eastAsia="Carlito"/>
              <w:color w:val="40464D"/>
              <w:sz w:val="15"/>
            </w:rPr>
            <w:t>Charte du Projet Atlas — v1.0</w:t>
          </w:r>
        </w:p>
      </w:tc>
      <w:tc>
        <w:tcPr>
          <w:tcW w:type="dxa" w:w="3384"/>
          <w:tcBorders>
            <w:top w:sz="4" w:val="single" w:color="D9DEE5"/>
          </w:tcBorders>
          <w:tcMar>
            <w:top w:w="70" w:type="dxa"/>
            <w:start w:w="20" w:type="dxa"/>
            <w:bottom w:w="0" w:type="dxa"/>
            <w:end w:w="20" w:type="dxa"/>
          </w:tcMar>
        </w:tcPr>
        <w:p>
          <w:pPr>
            <w:jc w:val="right"/>
          </w:pPr>
          <w:r>
            <w:rPr>
              <w:rFonts w:ascii="Carlito" w:hAnsi="Carlito" w:eastAsia="Carlito"/>
              <w:color w:val="40464D"/>
              <w:sz w:val="15"/>
            </w:rPr>
            <w:t>Contoso | 7 juillet 2026</w:t>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5" w:space="1" w:color="D9EAF7"/>
      </w:pBdr>
    </w:pPr>
    <w:r>
      <w:rPr>
        <w:rFonts w:ascii="Carlito" w:hAnsi="Carlito" w:eastAsia="Carlito"/>
        <w:b/>
        <w:color w:val="2F75B5"/>
        <w:sz w:val="17"/>
      </w:rPr>
      <w:t>CONTOSO  |  TRANSFORMATION NUMÉRIQUE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4" w:lineRule="auto"/>
    </w:pPr>
    <w:rPr>
      <w:rFonts w:ascii="Carlito" w:hAnsi="Carlit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Carlito" w:hAnsi="Carlito"/>
      <w:b/>
      <w:bCs/>
      <w:color w:val="17365D"/>
      <w:sz w:val="36"/>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Carlito" w:hAnsi="Carlito"/>
      <w:b/>
      <w:bCs/>
      <w:color w:val="2F75B5"/>
      <w:sz w:val="26"/>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Carlito" w:hAnsi="Carlito"/>
      <w:b/>
      <w:bCs/>
      <w:color w:val="2E8B8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60"/>
      <w:contextualSpacing/>
    </w:pPr>
    <w:rPr>
      <w:rFonts w:asciiTheme="majorHAnsi" w:eastAsiaTheme="majorEastAsia" w:hAnsiTheme="majorHAnsi" w:cstheme="majorBidi" w:ascii="Carlito" w:hAnsi="Carlito"/>
      <w:b/>
      <w:color w:val="17365D"/>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rlito" w:hAnsi="Carlito"/>
      <w:sz w:val="20"/>
    </w:rPr>
  </w:style>
  <w:style w:type="paragraph" w:styleId="ListBullet2">
    <w:name w:val="List Bullet 2"/>
    <w:basedOn w:val="Normal"/>
    <w:uiPriority w:val="99"/>
    <w:unhideWhenUsed/>
    <w:rsid w:val="00326F90"/>
    <w:pPr>
      <w:numPr>
        <w:numId w:val="2"/>
      </w:numPr>
      <w:contextualSpacing/>
    </w:pPr>
    <w:rPr>
      <w:rFonts w:ascii="Carlito" w:hAnsi="Carlito"/>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Carlito" w:hAnsi="Carlito"/>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3.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customXml" Target="../customXml/item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5EF1B8CB22ED54F8F3877390894ADCD" ma:contentTypeVersion="3" ma:contentTypeDescription="Crée un document." ma:contentTypeScope="" ma:versionID="a6313ad3a55da95701a281e814e6498d">
  <xsd:schema xmlns:xsd="http://www.w3.org/2001/XMLSchema" xmlns:xs="http://www.w3.org/2001/XMLSchema" xmlns:p="http://schemas.microsoft.com/office/2006/metadata/properties" xmlns:ns2="85c993be-8302-4845-9fd2-0160275f23db" targetNamespace="http://schemas.microsoft.com/office/2006/metadata/properties" ma:root="true" ma:fieldsID="e6de75cc436c711268bcc60a3f85fc21" ns2:_="">
    <xsd:import namespace="85c993be-8302-4845-9fd2-0160275f23d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c993be-8302-4845-9fd2-0160275f23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B01AB653-7180-4C74-9DCB-2115FF065469}"/>
</file>

<file path=customXml/itemProps3.xml><?xml version="1.0" encoding="utf-8"?>
<ds:datastoreItem xmlns:ds="http://schemas.openxmlformats.org/officeDocument/2006/customXml" ds:itemID="{5A221CF9-C9CF-485C-AF91-90EE4C163834}"/>
</file>

<file path=customXml/itemProps4.xml><?xml version="1.0" encoding="utf-8"?>
<ds:datastoreItem xmlns:ds="http://schemas.openxmlformats.org/officeDocument/2006/customXml" ds:itemID="{2135455A-BC51-4BD5-BABD-5104B6976A16}"/>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Charte du Projet Atlas</dc:title>
  <dc:subject>Projet Atlas — Programme d’adoption de l’IA générative avec Microsoft 365 Copilot</dc:subject>
  <dc:creator>Contoso — Programme Atlas</dc:creator>
  <cp:keywords>Projet Atlas, Microsoft 365 Copilot, adoption, charte, gouvernance</cp:keywords>
  <dc:description>Version de démonstration / formation — scénario fictif Contoso.</dc:description>
  <cp:lastModifiedBy/>
  <cp:revision>1</cp:revision>
  <dcterms:created xsi:type="dcterms:W3CDTF">2013-12-23T23:15:00Z</dcterms:created>
  <dcterms:modified xsi:type="dcterms:W3CDTF">2013-12-23T23:15:00Z</dcterms:modified>
  <cp:category>Document de projet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0x01010075EF1B8CB22ED54F8F3877390894ADCD</vt:lpwstr>
  </property>
  <property fmtid="{D5CDD505-2E9C-101B-9397-08002B2CF9AE}" pid="4" name="docLang">
    <vt:lpwstr>fr</vt:lpwstr>
  </property>
</Properties>
</file>