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252" w:lineRule="auto"/>
      </w:pPr>
      <w:r>
        <w:rPr>
          <w:rFonts w:ascii="Carlito" w:hAnsi="Carlito"/>
          <w:b/>
          <w:color w:val="2E8B8B"/>
          <w:sz w:val="26"/>
        </w:rPr>
        <w:t>PROJET ATLAS</w:t>
      </w:r>
    </w:p>
    <w:p>
      <w:pPr>
        <w:spacing w:after="40" w:line="252" w:lineRule="auto"/>
      </w:pPr>
      <w:r>
        <w:rPr>
          <w:rFonts w:ascii="Carlito" w:hAnsi="Carlito"/>
          <w:b/>
          <w:color w:val="17365D"/>
          <w:sz w:val="60"/>
        </w:rPr>
        <w:t>Questions ouvertes</w:t>
      </w:r>
    </w:p>
    <w:p>
      <w:pPr>
        <w:spacing w:after="200" w:line="252" w:lineRule="auto"/>
      </w:pPr>
      <w:r>
        <w:rPr>
          <w:rFonts w:ascii="Carlito" w:hAnsi="Carlito"/>
          <w:b w:val="0"/>
          <w:color w:val="2F75B5"/>
          <w:sz w:val="30"/>
        </w:rPr>
        <w:t>Registre des sujets à clarifier avant la décision de lancement</w:t>
      </w:r>
    </w:p>
    <w:tbl>
      <w:tblPr>
        <w:tblW w:type="auto" w:w="0"/>
        <w:jc w:val="left"/>
        <w:tblLayout w:type="fixed"/>
        <w:tblLook w:firstColumn="1" w:firstRow="1" w:lastColumn="0" w:lastRow="0" w:noHBand="0" w:noVBand="1" w:val="04A0"/>
        <w:tblBorders>
          <w:top w:val="single" w:sz="3" w:color="D9DEE5"/>
          <w:left w:val="single" w:sz="3" w:color="D9DEE5"/>
          <w:bottom w:val="single" w:sz="3" w:color="D9DEE5"/>
          <w:right w:val="single" w:sz="3" w:color="D9DEE5"/>
          <w:insideH w:val="single" w:sz="3" w:color="D9DEE5"/>
          <w:insideV w:val="single" w:sz="3" w:color="D9DEE5"/>
        </w:tblBorders>
      </w:tblPr>
      <w:tblGrid>
        <w:gridCol w:w="2520"/>
        <w:gridCol w:w="8352"/>
      </w:tblGrid>
      <w:tr>
        <w:tc>
          <w:tcPr>
            <w:tcW w:type="dxa" w:w="5083"/>
            <w:vAlign w:val="center"/>
            <w:tcMar>
              <w:top w:w="90" w:type="dxa"/>
              <w:start w:w="90" w:type="dxa"/>
              <w:bottom w:w="90" w:type="dxa"/>
              <w:end w:w="90" w:type="dxa"/>
            </w:tcMar>
            <w:shd w:fill="F3F5F7"/>
          </w:tcPr>
          <w:p>
            <w:pPr>
              <w:spacing w:after="0"/>
            </w:pPr>
            <w:r/>
            <w:r>
              <w:rPr>
                <w:rFonts w:ascii="Carlito" w:hAnsi="Carlito"/>
                <w:b/>
                <w:color w:val="2F75B5"/>
                <w:sz w:val="18"/>
              </w:rPr>
              <w:t>Version</w:t>
            </w:r>
          </w:p>
        </w:tc>
        <w:tc>
          <w:tcPr>
            <w:tcW w:type="dxa" w:w="5083"/>
            <w:vAlign w:val="center"/>
            <w:tcMar>
              <w:top w:w="90" w:type="dxa"/>
              <w:start w:w="90" w:type="dxa"/>
              <w:bottom w:w="90" w:type="dxa"/>
              <w:end w:w="90" w:type="dxa"/>
            </w:tcMar>
            <w:shd w:fill="F3F5F7"/>
          </w:tcPr>
          <w:p>
            <w:pPr>
              <w:spacing w:after="0"/>
            </w:pPr>
            <w:r/>
            <w:r>
              <w:rPr>
                <w:rFonts w:ascii="Carlito" w:hAnsi="Carlito"/>
                <w:b w:val="0"/>
                <w:color w:val="40464D"/>
                <w:sz w:val="19"/>
              </w:rPr>
              <w:t>0.6</w:t>
            </w:r>
          </w:p>
        </w:tc>
      </w:tr>
      <w:tr>
        <w:tc>
          <w:tcPr>
            <w:tcW w:type="dxa" w:w="5083"/>
            <w:vAlign w:val="center"/>
            <w:tcMar>
              <w:top w:w="90" w:type="dxa"/>
              <w:start w:w="90" w:type="dxa"/>
              <w:bottom w:w="90" w:type="dxa"/>
              <w:end w:w="90" w:type="dxa"/>
            </w:tcMar>
          </w:tcPr>
          <w:p>
            <w:pPr>
              <w:spacing w:after="0"/>
            </w:pPr>
            <w:r/>
            <w:r>
              <w:rPr>
                <w:rFonts w:ascii="Carlito" w:hAnsi="Carlito"/>
                <w:b/>
                <w:color w:val="2F75B5"/>
                <w:sz w:val="18"/>
              </w:rPr>
              <w:t>Date</w:t>
            </w:r>
          </w:p>
        </w:tc>
        <w:tc>
          <w:tcPr>
            <w:tcW w:type="dxa" w:w="5083"/>
            <w:vAlign w:val="center"/>
            <w:tcMar>
              <w:top w:w="90" w:type="dxa"/>
              <w:start w:w="90" w:type="dxa"/>
              <w:bottom w:w="90" w:type="dxa"/>
              <w:end w:w="90" w:type="dxa"/>
            </w:tcMar>
          </w:tcPr>
          <w:p>
            <w:pPr>
              <w:spacing w:after="0"/>
            </w:pPr>
            <w:r/>
            <w:r>
              <w:rPr>
                <w:rFonts w:ascii="Carlito" w:hAnsi="Carlito"/>
                <w:b w:val="0"/>
                <w:color w:val="40464D"/>
                <w:sz w:val="19"/>
              </w:rPr>
              <w:t>14 août 2026</w:t>
            </w:r>
          </w:p>
        </w:tc>
      </w:tr>
      <w:tr>
        <w:tc>
          <w:tcPr>
            <w:tcW w:type="dxa" w:w="5083"/>
            <w:vAlign w:val="center"/>
            <w:tcMar>
              <w:top w:w="90" w:type="dxa"/>
              <w:start w:w="90" w:type="dxa"/>
              <w:bottom w:w="90" w:type="dxa"/>
              <w:end w:w="90" w:type="dxa"/>
            </w:tcMar>
            <w:shd w:fill="F3F5F7"/>
          </w:tcPr>
          <w:p>
            <w:pPr>
              <w:spacing w:after="0"/>
            </w:pPr>
            <w:r/>
            <w:r>
              <w:rPr>
                <w:rFonts w:ascii="Carlito" w:hAnsi="Carlito"/>
                <w:b/>
                <w:color w:val="2F75B5"/>
                <w:sz w:val="18"/>
              </w:rPr>
              <w:t>Statut</w:t>
            </w:r>
          </w:p>
        </w:tc>
        <w:tc>
          <w:tcPr>
            <w:tcW w:type="dxa" w:w="5083"/>
            <w:vAlign w:val="center"/>
            <w:tcMar>
              <w:top w:w="90" w:type="dxa"/>
              <w:start w:w="90" w:type="dxa"/>
              <w:bottom w:w="90" w:type="dxa"/>
              <w:end w:w="90" w:type="dxa"/>
            </w:tcMar>
            <w:shd w:fill="F3F5F7"/>
          </w:tcPr>
          <w:p>
            <w:pPr>
              <w:spacing w:after="0"/>
            </w:pPr>
            <w:r/>
            <w:r>
              <w:rPr>
                <w:rFonts w:ascii="Carlito" w:hAnsi="Carlito"/>
                <w:b w:val="0"/>
                <w:color w:val="40464D"/>
                <w:sz w:val="19"/>
              </w:rPr>
              <w:t>Document de travail — questions ouvertes</w:t>
            </w:r>
          </w:p>
        </w:tc>
      </w:tr>
      <w:tr>
        <w:tc>
          <w:tcPr>
            <w:tcW w:type="dxa" w:w="5083"/>
            <w:vAlign w:val="center"/>
            <w:tcMar>
              <w:top w:w="90" w:type="dxa"/>
              <w:start w:w="90" w:type="dxa"/>
              <w:bottom w:w="90" w:type="dxa"/>
              <w:end w:w="90" w:type="dxa"/>
            </w:tcMar>
          </w:tcPr>
          <w:p>
            <w:pPr>
              <w:spacing w:after="0"/>
            </w:pPr>
            <w:r/>
            <w:r>
              <w:rPr>
                <w:rFonts w:ascii="Carlito" w:hAnsi="Carlito"/>
                <w:b/>
                <w:color w:val="2F75B5"/>
                <w:sz w:val="18"/>
              </w:rPr>
              <w:t>Propriétaire fonctionnel</w:t>
            </w:r>
          </w:p>
        </w:tc>
        <w:tc>
          <w:tcPr>
            <w:tcW w:type="dxa" w:w="5083"/>
            <w:vAlign w:val="center"/>
            <w:tcMar>
              <w:top w:w="90" w:type="dxa"/>
              <w:start w:w="90" w:type="dxa"/>
              <w:bottom w:w="90" w:type="dxa"/>
              <w:end w:w="90" w:type="dxa"/>
            </w:tcMar>
          </w:tcPr>
          <w:p>
            <w:pPr>
              <w:spacing w:after="0"/>
            </w:pPr>
            <w:r/>
            <w:r>
              <w:rPr>
                <w:rFonts w:ascii="Carlito" w:hAnsi="Carlito"/>
                <w:b w:val="0"/>
                <w:color w:val="40464D"/>
                <w:sz w:val="19"/>
              </w:rPr>
              <w:t>Responsable du programme Atlas</w:t>
            </w:r>
          </w:p>
        </w:tc>
      </w:tr>
      <w:tr>
        <w:tc>
          <w:tcPr>
            <w:tcW w:type="dxa" w:w="5083"/>
            <w:vAlign w:val="center"/>
            <w:tcMar>
              <w:top w:w="90" w:type="dxa"/>
              <w:start w:w="90" w:type="dxa"/>
              <w:bottom w:w="90" w:type="dxa"/>
              <w:end w:w="90" w:type="dxa"/>
            </w:tcMar>
            <w:shd w:fill="F3F5F7"/>
          </w:tcPr>
          <w:p>
            <w:pPr>
              <w:spacing w:after="0"/>
            </w:pPr>
            <w:r/>
            <w:r>
              <w:rPr>
                <w:rFonts w:ascii="Carlito" w:hAnsi="Carlito"/>
                <w:b/>
                <w:color w:val="2F75B5"/>
                <w:sz w:val="18"/>
              </w:rPr>
              <w:t>Sponsor</w:t>
            </w:r>
          </w:p>
        </w:tc>
        <w:tc>
          <w:tcPr>
            <w:tcW w:type="dxa" w:w="5083"/>
            <w:vAlign w:val="center"/>
            <w:tcMar>
              <w:top w:w="90" w:type="dxa"/>
              <w:start w:w="90" w:type="dxa"/>
              <w:bottom w:w="90" w:type="dxa"/>
              <w:end w:w="90" w:type="dxa"/>
            </w:tcMar>
            <w:shd w:fill="F3F5F7"/>
          </w:tcPr>
          <w:p>
            <w:pPr>
              <w:spacing w:after="0"/>
            </w:pPr>
            <w:r/>
            <w:r>
              <w:rPr>
                <w:rFonts w:ascii="Carlito" w:hAnsi="Carlito"/>
                <w:b w:val="0"/>
                <w:color w:val="40464D"/>
                <w:sz w:val="19"/>
              </w:rPr>
              <w:t>Direction des Opérations</w:t>
            </w:r>
          </w:p>
        </w:tc>
      </w:tr>
      <w:tr>
        <w:tc>
          <w:tcPr>
            <w:tcW w:type="dxa" w:w="5083"/>
            <w:vAlign w:val="center"/>
            <w:tcMar>
              <w:top w:w="90" w:type="dxa"/>
              <w:start w:w="90" w:type="dxa"/>
              <w:bottom w:w="90" w:type="dxa"/>
              <w:end w:w="90" w:type="dxa"/>
            </w:tcMar>
          </w:tcPr>
          <w:p>
            <w:pPr>
              <w:spacing w:after="0"/>
            </w:pPr>
            <w:r/>
            <w:r>
              <w:rPr>
                <w:rFonts w:ascii="Carlito" w:hAnsi="Carlito"/>
                <w:b/>
                <w:color w:val="2F75B5"/>
                <w:sz w:val="18"/>
              </w:rPr>
              <w:t>Audience</w:t>
            </w:r>
          </w:p>
        </w:tc>
        <w:tc>
          <w:tcPr>
            <w:tcW w:type="dxa" w:w="5083"/>
            <w:vAlign w:val="center"/>
            <w:tcMar>
              <w:top w:w="90" w:type="dxa"/>
              <w:start w:w="90" w:type="dxa"/>
              <w:bottom w:w="90" w:type="dxa"/>
              <w:end w:w="90" w:type="dxa"/>
            </w:tcMar>
          </w:tcPr>
          <w:p>
            <w:pPr>
              <w:spacing w:after="0"/>
            </w:pPr>
            <w:r/>
            <w:r>
              <w:rPr>
                <w:rFonts w:ascii="Carlito" w:hAnsi="Carlito"/>
                <w:b w:val="0"/>
                <w:color w:val="40464D"/>
                <w:sz w:val="19"/>
              </w:rPr>
              <w:t>Équipe projet et comité de lancement</w:t>
            </w:r>
          </w:p>
        </w:tc>
      </w:tr>
      <w:tr>
        <w:tc>
          <w:tcPr>
            <w:tcW w:type="dxa" w:w="5083"/>
            <w:vAlign w:val="center"/>
            <w:tcMar>
              <w:top w:w="90" w:type="dxa"/>
              <w:start w:w="90" w:type="dxa"/>
              <w:bottom w:w="90" w:type="dxa"/>
              <w:end w:w="90" w:type="dxa"/>
            </w:tcMar>
            <w:shd w:fill="F3F5F7"/>
          </w:tcPr>
          <w:p>
            <w:pPr>
              <w:spacing w:after="0"/>
            </w:pPr>
            <w:r/>
            <w:r>
              <w:rPr>
                <w:rFonts w:ascii="Carlito" w:hAnsi="Carlito"/>
                <w:b/>
                <w:color w:val="2F75B5"/>
                <w:sz w:val="18"/>
              </w:rPr>
              <w:t>Classification</w:t>
            </w:r>
          </w:p>
        </w:tc>
        <w:tc>
          <w:tcPr>
            <w:tcW w:type="dxa" w:w="5083"/>
            <w:vAlign w:val="center"/>
            <w:tcMar>
              <w:top w:w="90" w:type="dxa"/>
              <w:start w:w="90" w:type="dxa"/>
              <w:bottom w:w="90" w:type="dxa"/>
              <w:end w:w="90" w:type="dxa"/>
            </w:tcMar>
            <w:shd w:fill="F3F5F7"/>
          </w:tcPr>
          <w:p>
            <w:pPr>
              <w:spacing w:after="0"/>
            </w:pPr>
            <w:r/>
            <w:r>
              <w:rPr>
                <w:rFonts w:ascii="Carlito" w:hAnsi="Carlito"/>
                <w:b w:val="0"/>
                <w:color w:val="40464D"/>
                <w:sz w:val="19"/>
              </w:rPr>
              <w:t>Interne — Projet Atlas</w:t>
            </w:r>
          </w:p>
        </w:tc>
      </w:tr>
    </w:tbl>
    <w:p>
      <w:pPr>
        <w:spacing w:after="60" w:line="252" w:lineRule="auto"/>
      </w:pPr>
    </w:p>
    <w:tbl>
      <w:tblPr>
        <w:tblW w:type="auto" w:w="0"/>
        <w:jc w:val="center"/>
        <w:tblLayout w:type="autofit"/>
        <w:tblLook w:firstColumn="1" w:firstRow="1" w:lastColumn="0" w:lastRow="0" w:noHBand="0" w:noVBand="1" w:val="04A0"/>
      </w:tblPr>
      <w:tblGrid>
        <w:gridCol w:w="10166"/>
      </w:tblGrid>
      <w:tr>
        <w:tc>
          <w:tcPr>
            <w:tcW w:type="dxa" w:w="10166"/>
            <w:shd w:fill="EAF2F8"/>
            <w:tcMar>
              <w:top w:w="120" w:type="dxa"/>
              <w:start w:w="160" w:type="dxa"/>
              <w:bottom w:w="120" w:type="dxa"/>
              <w:end w:w="160" w:type="dxa"/>
            </w:tcMar>
          </w:tcPr>
          <w:p>
            <w:pPr>
              <w:spacing w:after="60"/>
            </w:pPr>
            <w:r/>
            <w:r>
              <w:rPr>
                <w:rFonts w:ascii="Carlito" w:hAnsi="Carlito"/>
                <w:b/>
                <w:color w:val="2F75B5"/>
                <w:sz w:val="20"/>
              </w:rPr>
              <w:t>Objet du document</w:t>
            </w:r>
          </w:p>
          <w:p>
            <w:pPr>
              <w:spacing w:after="0"/>
            </w:pPr>
            <w:r>
              <w:rPr>
                <w:rFonts w:ascii="Carlito" w:hAnsi="Carlito"/>
                <w:color w:val="40464D"/>
                <w:sz w:val="20"/>
              </w:rPr>
              <w:t>Maintenir une vue commune des questions qui doivent encore être clarifiées ou décidées avant le lancement du Projet Atlas. Ce registre ne remplace ni la charte, ni les décisions formelles : une question inscrite ici demeure ouverte tant qu’une source d’autorité n’en confirme pas la résolution.</w:t>
            </w:r>
          </w:p>
        </w:tc>
      </w:tr>
    </w:tbl>
    <w:p>
      <w:pPr>
        <w:spacing w:after="20" w:line="252" w:lineRule="auto"/>
      </w:pPr>
    </w:p>
    <w:p>
      <w:pPr>
        <w:pStyle w:val="Heading1"/>
        <w:keepNext/>
      </w:pPr>
      <w:r>
        <w:t>1. Principes de lecture</w:t>
      </w:r>
    </w:p>
    <w:p>
      <w:pPr>
        <w:spacing w:after="140" w:line="252" w:lineRule="auto"/>
      </w:pPr>
      <w:r>
        <w:t>Ce document accompagne la Charte du Projet Atlas approuvée pour cadrage initial. Il recense les sujets dont la réponse n’est pas encore suffisamment établie pour être utilisée comme une décision officielle. Il doit permettre à l’équipe projet de préparer les validations, arbitrages et décisions nécessaires au comité de lancement.</w:t>
      </w:r>
    </w:p>
    <w:tbl>
      <w:tblPr>
        <w:tblW w:type="auto" w:w="0"/>
        <w:jc w:val="center"/>
        <w:tblLayout w:type="autofit"/>
        <w:tblLook w:firstColumn="1" w:firstRow="1" w:lastColumn="0" w:lastRow="0" w:noHBand="0" w:noVBand="1" w:val="04A0"/>
      </w:tblPr>
      <w:tblGrid>
        <w:gridCol w:w="10166"/>
      </w:tblGrid>
      <w:tr>
        <w:tc>
          <w:tcPr>
            <w:tcW w:type="dxa" w:w="10166"/>
            <w:shd w:fill="EAF6F6"/>
            <w:tcMar>
              <w:top w:w="120" w:type="dxa"/>
              <w:start w:w="160" w:type="dxa"/>
              <w:bottom w:w="120" w:type="dxa"/>
              <w:end w:w="160" w:type="dxa"/>
            </w:tcMar>
          </w:tcPr>
          <w:p>
            <w:pPr>
              <w:spacing w:after="60"/>
            </w:pPr>
            <w:r/>
            <w:r>
              <w:rPr>
                <w:rFonts w:ascii="Carlito" w:hAnsi="Carlito"/>
                <w:b/>
                <w:color w:val="2E8B8B"/>
                <w:sz w:val="20"/>
              </w:rPr>
              <w:t>Paramètres déjà établis par la charte — version 1.0</w:t>
            </w:r>
          </w:p>
          <w:p>
            <w:pPr>
              <w:spacing w:after="0"/>
            </w:pPr>
            <w:r>
              <w:rPr>
                <w:rFonts w:ascii="Carlito" w:hAnsi="Carlito"/>
                <w:color w:val="40464D"/>
                <w:sz w:val="20"/>
              </w:rPr>
              <w:t>Population cible initiale : 500 employés • Date cible de lancement organisationnel : 15 octobre 2026 • Enveloppe initiale : 120 000 $ CAD pour préparation, adoption, formation, soutien et communication • Coûts de licences Microsoft 365 Copilot à valider séparément • Sponsor : Direction des Opérations • Cible d’adoption : 70 % d’utilisateurs actifs après trois mois.</w:t>
            </w:r>
          </w:p>
        </w:tc>
      </w:tr>
    </w:tbl>
    <w:p>
      <w:pPr>
        <w:spacing w:after="20" w:line="252" w:lineRule="auto"/>
      </w:pPr>
    </w:p>
    <w:p>
      <w:pPr>
        <w:spacing w:after="140" w:line="252" w:lineRule="auto"/>
      </w:pPr>
      <w:r>
        <w:t>Les éléments ci-dessus sont des paramètres de référence. Une estimation, une recommandation, un brouillon ou une discussion ultérieure peut proposer une autre valeur, mais ne modifie pas à elle seule le cadrage approuvé. Toute évolution doit être qualifiée explicitement comme proposition, décision ou révision de la charte.</w:t>
      </w:r>
    </w:p>
    <w:p>
      <w:pPr>
        <w:pStyle w:val="Heading1"/>
        <w:keepNext/>
      </w:pPr>
      <w:r>
        <w:t>2. Vue d’ensemble des questions ouvertes</w:t>
      </w:r>
    </w:p>
    <w:tbl>
      <w:tblPr>
        <w:tblW w:type="auto" w:w="0"/>
        <w:jc w:val="center"/>
        <w:tblLayout w:type="fixed"/>
        <w:tblLook w:firstColumn="1" w:firstRow="1" w:lastColumn="0" w:lastRow="0" w:noHBand="0" w:noVBand="1" w:val="04A0"/>
        <w:tblBorders>
          <w:top w:val="single" w:sz="3" w:color="D9DEE5"/>
          <w:left w:val="single" w:sz="3" w:color="D9DEE5"/>
          <w:bottom w:val="single" w:sz="3" w:color="D9DEE5"/>
          <w:right w:val="single" w:sz="3" w:color="D9DEE5"/>
          <w:insideH w:val="single" w:sz="3" w:color="D9DEE5"/>
          <w:insideV w:val="single" w:sz="3" w:color="D9DEE5"/>
        </w:tblBorders>
      </w:tblPr>
      <w:tblGrid>
        <w:gridCol w:w="2033"/>
        <w:gridCol w:w="2033"/>
        <w:gridCol w:w="2033"/>
        <w:gridCol w:w="2033"/>
        <w:gridCol w:w="2033"/>
      </w:tblGrid>
      <w:tr>
        <w:trPr>
          <w:tblHeader w:val="true"/>
        </w:trPr>
        <w:tc>
          <w:tcPr>
            <w:tcW w:type="dxa" w:w="2033"/>
            <w:vAlign w:val="center"/>
            <w:tcMar>
              <w:top w:w="90" w:type="dxa"/>
              <w:start w:w="90" w:type="dxa"/>
              <w:bottom w:w="90" w:type="dxa"/>
              <w:end w:w="90" w:type="dxa"/>
            </w:tcMar>
            <w:shd w:fill="17365D"/>
          </w:tcPr>
          <w:p>
            <w:pPr>
              <w:spacing w:after="0"/>
            </w:pPr>
            <w:r/>
            <w:r>
              <w:rPr>
                <w:rFonts w:ascii="Carlito" w:hAnsi="Carlito"/>
                <w:b/>
                <w:color w:val="FFFFFF"/>
                <w:sz w:val="17"/>
              </w:rPr>
              <w:t>ID</w:t>
            </w:r>
          </w:p>
        </w:tc>
        <w:tc>
          <w:tcPr>
            <w:tcW w:type="dxa" w:w="2033"/>
            <w:vAlign w:val="center"/>
            <w:tcMar>
              <w:top w:w="90" w:type="dxa"/>
              <w:start w:w="90" w:type="dxa"/>
              <w:bottom w:w="90" w:type="dxa"/>
              <w:end w:w="90" w:type="dxa"/>
            </w:tcMar>
            <w:shd w:fill="17365D"/>
          </w:tcPr>
          <w:p>
            <w:pPr>
              <w:spacing w:after="0"/>
            </w:pPr>
            <w:r/>
            <w:r>
              <w:rPr>
                <w:rFonts w:ascii="Carlito" w:hAnsi="Carlito"/>
                <w:b/>
                <w:color w:val="FFFFFF"/>
                <w:sz w:val="17"/>
              </w:rPr>
              <w:t>Sujet</w:t>
            </w:r>
          </w:p>
        </w:tc>
        <w:tc>
          <w:tcPr>
            <w:tcW w:type="dxa" w:w="2033"/>
            <w:vAlign w:val="center"/>
            <w:tcMar>
              <w:top w:w="90" w:type="dxa"/>
              <w:start w:w="90" w:type="dxa"/>
              <w:bottom w:w="90" w:type="dxa"/>
              <w:end w:w="90" w:type="dxa"/>
            </w:tcMar>
            <w:shd w:fill="17365D"/>
          </w:tcPr>
          <w:p>
            <w:pPr>
              <w:spacing w:after="0"/>
            </w:pPr>
            <w:r/>
            <w:r>
              <w:rPr>
                <w:rFonts w:ascii="Carlito" w:hAnsi="Carlito"/>
                <w:b/>
                <w:color w:val="FFFFFF"/>
                <w:sz w:val="17"/>
              </w:rPr>
              <w:t>Statut</w:t>
            </w:r>
          </w:p>
        </w:tc>
        <w:tc>
          <w:tcPr>
            <w:tcW w:type="dxa" w:w="2033"/>
            <w:vAlign w:val="center"/>
            <w:tcMar>
              <w:top w:w="90" w:type="dxa"/>
              <w:start w:w="90" w:type="dxa"/>
              <w:bottom w:w="90" w:type="dxa"/>
              <w:end w:w="90" w:type="dxa"/>
            </w:tcMar>
            <w:shd w:fill="17365D"/>
          </w:tcPr>
          <w:p>
            <w:pPr>
              <w:spacing w:after="0"/>
            </w:pPr>
            <w:r/>
            <w:r>
              <w:rPr>
                <w:rFonts w:ascii="Carlito" w:hAnsi="Carlito"/>
                <w:b/>
                <w:color w:val="FFFFFF"/>
                <w:sz w:val="17"/>
              </w:rPr>
              <w:t>Impact principal</w:t>
            </w:r>
          </w:p>
        </w:tc>
        <w:tc>
          <w:tcPr>
            <w:tcW w:type="dxa" w:w="2033"/>
            <w:vAlign w:val="center"/>
            <w:tcMar>
              <w:top w:w="90" w:type="dxa"/>
              <w:start w:w="90" w:type="dxa"/>
              <w:bottom w:w="90" w:type="dxa"/>
              <w:end w:w="90" w:type="dxa"/>
            </w:tcMar>
            <w:shd w:fill="17365D"/>
          </w:tcPr>
          <w:p>
            <w:pPr>
              <w:spacing w:after="0"/>
            </w:pPr>
            <w:r/>
            <w:r>
              <w:rPr>
                <w:rFonts w:ascii="Carlito" w:hAnsi="Carlito"/>
                <w:b/>
                <w:color w:val="FFFFFF"/>
                <w:sz w:val="17"/>
              </w:rPr>
              <w:t>Décision / validation attendue</w:t>
            </w:r>
          </w:p>
        </w:tc>
      </w:tr>
      <w:tr>
        <w:trPr>
          <w:cantSplit/>
        </w:trPr>
        <w:tc>
          <w:tcPr>
            <w:tcW w:type="dxa" w:w="2033"/>
            <w:vAlign w:val="center"/>
            <w:tcMar>
              <w:top w:w="90" w:type="dxa"/>
              <w:start w:w="90" w:type="dxa"/>
              <w:bottom w:w="90" w:type="dxa"/>
              <w:end w:w="90" w:type="dxa"/>
            </w:tcMar>
          </w:tcPr>
          <w:p>
            <w:pPr>
              <w:spacing w:after="0"/>
            </w:pPr>
            <w:r/>
            <w:r>
              <w:rPr>
                <w:rFonts w:ascii="Carlito" w:hAnsi="Carlito"/>
                <w:b/>
                <w:color w:val="40464D"/>
                <w:sz w:val="16"/>
              </w:rPr>
              <w:t>Q-01</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Périmètre et taille du pilote</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Ouvert</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Calendrier / capacité</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Définir la taille et les critères de sélection</w:t>
            </w:r>
          </w:p>
        </w:tc>
      </w:tr>
      <w:tr>
        <w:trPr>
          <w:cantSplit/>
        </w:trPr>
        <w:tc>
          <w:tcPr>
            <w:tcW w:type="dxa" w:w="2033"/>
            <w:vAlign w:val="center"/>
            <w:tcMar>
              <w:top w:w="90" w:type="dxa"/>
              <w:start w:w="90" w:type="dxa"/>
              <w:bottom w:w="90" w:type="dxa"/>
              <w:end w:w="90" w:type="dxa"/>
            </w:tcMar>
            <w:shd w:fill="F3F5F7"/>
          </w:tcPr>
          <w:p>
            <w:pPr>
              <w:spacing w:after="0"/>
            </w:pPr>
            <w:r/>
            <w:r>
              <w:rPr>
                <w:rFonts w:ascii="Carlito" w:hAnsi="Carlito"/>
                <w:b/>
                <w:color w:val="40464D"/>
                <w:sz w:val="16"/>
              </w:rPr>
              <w:t>Q-02</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Population cible et phasage</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À clarifier</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Portée du programme</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Confirmer la trajectoire vers les 500 employés</w:t>
            </w:r>
          </w:p>
        </w:tc>
      </w:tr>
      <w:tr>
        <w:trPr>
          <w:cantSplit/>
        </w:trPr>
        <w:tc>
          <w:tcPr>
            <w:tcW w:type="dxa" w:w="2033"/>
            <w:vAlign w:val="center"/>
            <w:tcMar>
              <w:top w:w="90" w:type="dxa"/>
              <w:start w:w="90" w:type="dxa"/>
              <w:bottom w:w="90" w:type="dxa"/>
              <w:end w:w="90" w:type="dxa"/>
            </w:tcMar>
          </w:tcPr>
          <w:p>
            <w:pPr>
              <w:spacing w:after="0"/>
            </w:pPr>
            <w:r/>
            <w:r>
              <w:rPr>
                <w:rFonts w:ascii="Carlito" w:hAnsi="Carlito"/>
                <w:b/>
                <w:color w:val="40464D"/>
                <w:sz w:val="16"/>
              </w:rPr>
              <w:t>Q-03</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Budget total, licences comprises</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Ouvert</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Finances</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Établir et approuver le coût de référence</w:t>
            </w:r>
          </w:p>
        </w:tc>
      </w:tr>
      <w:tr>
        <w:trPr>
          <w:cantSplit/>
        </w:trPr>
        <w:tc>
          <w:tcPr>
            <w:tcW w:type="dxa" w:w="2033"/>
            <w:vAlign w:val="center"/>
            <w:tcMar>
              <w:top w:w="90" w:type="dxa"/>
              <w:start w:w="90" w:type="dxa"/>
              <w:bottom w:w="90" w:type="dxa"/>
              <w:end w:w="90" w:type="dxa"/>
            </w:tcMar>
            <w:shd w:fill="F3F5F7"/>
          </w:tcPr>
          <w:p>
            <w:pPr>
              <w:spacing w:after="0"/>
            </w:pPr>
            <w:r/>
            <w:r>
              <w:rPr>
                <w:rFonts w:ascii="Carlito" w:hAnsi="Carlito"/>
                <w:b/>
                <w:color w:val="40464D"/>
                <w:sz w:val="16"/>
              </w:rPr>
              <w:t>Q-04</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Calendrier d’acquisition</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À confirmer</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Date du 15 octobre</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Valider le délai d’approvisionnement</w:t>
            </w:r>
          </w:p>
        </w:tc>
      </w:tr>
      <w:tr>
        <w:trPr>
          <w:cantSplit/>
        </w:trPr>
        <w:tc>
          <w:tcPr>
            <w:tcW w:type="dxa" w:w="2033"/>
            <w:vAlign w:val="center"/>
            <w:tcMar>
              <w:top w:w="90" w:type="dxa"/>
              <w:start w:w="90" w:type="dxa"/>
              <w:bottom w:w="90" w:type="dxa"/>
              <w:end w:w="90" w:type="dxa"/>
            </w:tcMar>
          </w:tcPr>
          <w:p>
            <w:pPr>
              <w:spacing w:after="0"/>
            </w:pPr>
            <w:r/>
            <w:r>
              <w:rPr>
                <w:rFonts w:ascii="Carlito" w:hAnsi="Carlito"/>
                <w:b/>
                <w:color w:val="40464D"/>
                <w:sz w:val="16"/>
              </w:rPr>
              <w:t>Q-05</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Données autorisées dans le pilote</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Validation requise</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Juridique / conformité</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Définir les catégories de données permises</w:t>
            </w:r>
          </w:p>
        </w:tc>
      </w:tr>
      <w:tr>
        <w:trPr>
          <w:cantSplit/>
        </w:trPr>
        <w:tc>
          <w:tcPr>
            <w:tcW w:type="dxa" w:w="2033"/>
            <w:vAlign w:val="center"/>
            <w:tcMar>
              <w:top w:w="90" w:type="dxa"/>
              <w:start w:w="90" w:type="dxa"/>
              <w:bottom w:w="90" w:type="dxa"/>
              <w:end w:w="90" w:type="dxa"/>
            </w:tcMar>
            <w:shd w:fill="F3F5F7"/>
          </w:tcPr>
          <w:p>
            <w:pPr>
              <w:spacing w:after="0"/>
            </w:pPr>
            <w:r/>
            <w:r>
              <w:rPr>
                <w:rFonts w:ascii="Carlito" w:hAnsi="Carlito"/>
                <w:b/>
                <w:color w:val="40464D"/>
                <w:sz w:val="16"/>
              </w:rPr>
              <w:t>Q-06</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Validation des réponses Copilot</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Ouvert</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Qualité / responsabilité</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Définir qui vérifie quoi selon le risque</w:t>
            </w:r>
          </w:p>
        </w:tc>
      </w:tr>
      <w:tr>
        <w:trPr>
          <w:cantSplit/>
        </w:trPr>
        <w:tc>
          <w:tcPr>
            <w:tcW w:type="dxa" w:w="2033"/>
            <w:vAlign w:val="center"/>
            <w:tcMar>
              <w:top w:w="90" w:type="dxa"/>
              <w:start w:w="90" w:type="dxa"/>
              <w:bottom w:w="90" w:type="dxa"/>
              <w:end w:w="90" w:type="dxa"/>
            </w:tcMar>
          </w:tcPr>
          <w:p>
            <w:pPr>
              <w:spacing w:after="0"/>
            </w:pPr>
            <w:r/>
            <w:r>
              <w:rPr>
                <w:rFonts w:ascii="Carlito" w:hAnsi="Carlito"/>
                <w:b/>
                <w:color w:val="40464D"/>
                <w:sz w:val="16"/>
              </w:rPr>
              <w:t>Q-07</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Propriété du bloc-notes collectif</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Ouvert</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Gouvernance / continuité</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Désigner responsable fonctionnel et règle de transfert</w:t>
            </w:r>
          </w:p>
        </w:tc>
      </w:tr>
      <w:tr>
        <w:trPr>
          <w:cantSplit/>
        </w:trPr>
        <w:tc>
          <w:tcPr>
            <w:tcW w:type="dxa" w:w="2033"/>
            <w:vAlign w:val="center"/>
            <w:tcMar>
              <w:top w:w="90" w:type="dxa"/>
              <w:start w:w="90" w:type="dxa"/>
              <w:bottom w:w="90" w:type="dxa"/>
              <w:end w:w="90" w:type="dxa"/>
            </w:tcMar>
            <w:shd w:fill="F3F5F7"/>
          </w:tcPr>
          <w:p>
            <w:pPr>
              <w:spacing w:after="0"/>
            </w:pPr>
            <w:r/>
            <w:r>
              <w:rPr>
                <w:rFonts w:ascii="Carlito" w:hAnsi="Carlito"/>
                <w:b/>
                <w:color w:val="40464D"/>
                <w:sz w:val="16"/>
              </w:rPr>
              <w:t>Q-08</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Réseau d’ambassadeurs</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À préciser</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Adoption</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Confirmer cible, personnes et disponibilité</w:t>
            </w:r>
          </w:p>
        </w:tc>
      </w:tr>
      <w:tr>
        <w:trPr>
          <w:cantSplit/>
        </w:trPr>
        <w:tc>
          <w:tcPr>
            <w:tcW w:type="dxa" w:w="2033"/>
            <w:vAlign w:val="center"/>
            <w:tcMar>
              <w:top w:w="90" w:type="dxa"/>
              <w:start w:w="90" w:type="dxa"/>
              <w:bottom w:w="90" w:type="dxa"/>
              <w:end w:w="90" w:type="dxa"/>
            </w:tcMar>
          </w:tcPr>
          <w:p>
            <w:pPr>
              <w:spacing w:after="0"/>
            </w:pPr>
            <w:r/>
            <w:r>
              <w:rPr>
                <w:rFonts w:ascii="Carlito" w:hAnsi="Carlito"/>
                <w:b/>
                <w:color w:val="40464D"/>
                <w:sz w:val="16"/>
              </w:rPr>
              <w:t>Q-09</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Capacité de formation</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À valider</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Préparation au lancement</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Confirmer capacité, cohortes et ressources</w:t>
            </w:r>
          </w:p>
        </w:tc>
      </w:tr>
      <w:tr>
        <w:trPr>
          <w:cantSplit/>
        </w:trPr>
        <w:tc>
          <w:tcPr>
            <w:tcW w:type="dxa" w:w="2033"/>
            <w:vAlign w:val="center"/>
            <w:tcMar>
              <w:top w:w="90" w:type="dxa"/>
              <w:start w:w="90" w:type="dxa"/>
              <w:bottom w:w="90" w:type="dxa"/>
              <w:end w:w="90" w:type="dxa"/>
            </w:tcMar>
            <w:shd w:fill="F3F5F7"/>
          </w:tcPr>
          <w:p>
            <w:pPr>
              <w:spacing w:after="0"/>
            </w:pPr>
            <w:r/>
            <w:r>
              <w:rPr>
                <w:rFonts w:ascii="Carlito" w:hAnsi="Carlito"/>
                <w:b/>
                <w:color w:val="40464D"/>
                <w:sz w:val="16"/>
              </w:rPr>
              <w:t>Q-10</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Critères de maintien du 15 octobre</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Ouvert</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Décision de lancement</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Définir les prérequis minimaux</w:t>
            </w:r>
          </w:p>
        </w:tc>
      </w:tr>
      <w:tr>
        <w:trPr>
          <w:cantSplit/>
        </w:trPr>
        <w:tc>
          <w:tcPr>
            <w:tcW w:type="dxa" w:w="2033"/>
            <w:vAlign w:val="center"/>
            <w:tcMar>
              <w:top w:w="90" w:type="dxa"/>
              <w:start w:w="90" w:type="dxa"/>
              <w:bottom w:w="90" w:type="dxa"/>
              <w:end w:w="90" w:type="dxa"/>
            </w:tcMar>
          </w:tcPr>
          <w:p>
            <w:pPr>
              <w:spacing w:after="0"/>
            </w:pPr>
            <w:r/>
            <w:r>
              <w:rPr>
                <w:rFonts w:ascii="Carlito" w:hAnsi="Carlito"/>
                <w:b/>
                <w:color w:val="40464D"/>
                <w:sz w:val="16"/>
              </w:rPr>
              <w:t>Q-11</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Communication avant lancement</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Validation requise</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Réputation / conformité</w:t>
            </w:r>
          </w:p>
        </w:tc>
        <w:tc>
          <w:tcPr>
            <w:tcW w:type="dxa" w:w="2033"/>
            <w:vAlign w:val="center"/>
            <w:tcMar>
              <w:top w:w="90" w:type="dxa"/>
              <w:start w:w="90" w:type="dxa"/>
              <w:bottom w:w="90" w:type="dxa"/>
              <w:end w:w="90" w:type="dxa"/>
            </w:tcMar>
          </w:tcPr>
          <w:p>
            <w:pPr>
              <w:spacing w:after="0"/>
            </w:pPr>
            <w:r/>
            <w:r>
              <w:rPr>
                <w:rFonts w:ascii="Carlito" w:hAnsi="Carlito"/>
                <w:b w:val="0"/>
                <w:color w:val="40464D"/>
                <w:sz w:val="16"/>
              </w:rPr>
              <w:t>Confirmer ce qui peut être communiqué et quand</w:t>
            </w:r>
          </w:p>
        </w:tc>
      </w:tr>
      <w:tr>
        <w:trPr>
          <w:cantSplit/>
        </w:trPr>
        <w:tc>
          <w:tcPr>
            <w:tcW w:type="dxa" w:w="2033"/>
            <w:vAlign w:val="center"/>
            <w:tcMar>
              <w:top w:w="90" w:type="dxa"/>
              <w:start w:w="90" w:type="dxa"/>
              <w:bottom w:w="90" w:type="dxa"/>
              <w:end w:w="90" w:type="dxa"/>
            </w:tcMar>
            <w:shd w:fill="F3F5F7"/>
          </w:tcPr>
          <w:p>
            <w:pPr>
              <w:spacing w:after="0"/>
            </w:pPr>
            <w:r/>
            <w:r>
              <w:rPr>
                <w:rFonts w:ascii="Carlito" w:hAnsi="Carlito"/>
                <w:b/>
                <w:color w:val="40464D"/>
                <w:sz w:val="16"/>
              </w:rPr>
              <w:t>Q-12</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Mesure de l’adoption à 70 %</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À préciser</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Mesure du succès</w:t>
            </w:r>
          </w:p>
        </w:tc>
        <w:tc>
          <w:tcPr>
            <w:tcW w:type="dxa" w:w="2033"/>
            <w:vAlign w:val="center"/>
            <w:tcMar>
              <w:top w:w="90" w:type="dxa"/>
              <w:start w:w="90" w:type="dxa"/>
              <w:bottom w:w="90" w:type="dxa"/>
              <w:end w:w="90" w:type="dxa"/>
            </w:tcMar>
            <w:shd w:fill="F3F5F7"/>
          </w:tcPr>
          <w:p>
            <w:pPr>
              <w:spacing w:after="0"/>
            </w:pPr>
            <w:r/>
            <w:r>
              <w:rPr>
                <w:rFonts w:ascii="Carlito" w:hAnsi="Carlito"/>
                <w:b w:val="0"/>
                <w:color w:val="40464D"/>
                <w:sz w:val="16"/>
              </w:rPr>
              <w:t>Définir population, métrique et période de mesure</w:t>
            </w:r>
          </w:p>
        </w:tc>
      </w:tr>
    </w:tbl>
    <w:p>
      <w:pPr>
        <w:pStyle w:val="Heading1"/>
        <w:keepNext/>
      </w:pPr>
      <w:r>
        <w:t>3. Questions à résoudre avant le comité</w:t>
      </w:r>
    </w:p>
    <w:tbl>
      <w:tblPr>
        <w:tblW w:type="auto" w:w="0"/>
        <w:jc w:val="left"/>
        <w:tblLayout w:type="fixed"/>
        <w:tblLook w:firstColumn="1" w:firstRow="1" w:lastColumn="0" w:lastRow="0" w:noHBand="0" w:noVBand="1" w:val="04A0"/>
        <w:tblBorders>
          <w:top w:val="single" w:sz="3" w:color="D9DEE5"/>
          <w:left w:val="single" w:sz="3" w:color="D9DEE5"/>
          <w:bottom w:val="single" w:sz="3" w:color="D9DEE5"/>
          <w:right w:val="single" w:sz="3" w:color="D9DEE5"/>
          <w:insideH w:val="single" w:sz="3" w:color="D9DEE5"/>
          <w:insideV w:val="single" w:sz="3" w:color="D9DEE5"/>
        </w:tblBorders>
      </w:tblPr>
      <w:tblGrid>
        <w:gridCol w:w="5083"/>
        <w:gridCol w:w="5083"/>
      </w:tblGrid>
      <w:tr>
        <w:trPr>
          <w:cantSplit/>
        </w:trPr>
        <w:tc>
          <w:tcPr>
            <w:tcW w:type="dxa" w:w="5083"/>
            <w:vAlign w:val="center"/>
            <w:tcMar>
              <w:top w:w="90" w:type="dxa"/>
              <w:start w:w="90" w:type="dxa"/>
              <w:bottom w:w="90" w:type="dxa"/>
              <w:end w:w="90" w:type="dxa"/>
            </w:tcMar>
            <w:shd w:fill="2E8B8B"/>
          </w:tcPr>
          <w:p>
            <w:pPr>
              <w:spacing w:after="0"/>
              <w:jc w:val="center"/>
            </w:pPr>
            <w:r/>
            <w:r>
              <w:rPr>
                <w:rFonts w:ascii="Carlito" w:hAnsi="Carlito"/>
                <w:b/>
                <w:color w:val="FFFFFF"/>
                <w:sz w:val="20"/>
              </w:rPr>
              <w:t>Q-01</w:t>
            </w:r>
          </w:p>
        </w:tc>
        <w:tc>
          <w:tcPr>
            <w:tcW w:type="dxa" w:w="5083"/>
            <w:vAlign w:val="center"/>
            <w:tcMar>
              <w:top w:w="90" w:type="dxa"/>
              <w:start w:w="90" w:type="dxa"/>
              <w:bottom w:w="90" w:type="dxa"/>
              <w:end w:w="90" w:type="dxa"/>
            </w:tcMar>
            <w:shd w:fill="EAF6F6"/>
          </w:tcPr>
          <w:p>
            <w:pPr>
              <w:spacing w:after="0"/>
            </w:pPr>
            <w:r/>
            <w:r>
              <w:rPr>
                <w:rFonts w:ascii="Carlito" w:hAnsi="Carlito"/>
                <w:b/>
                <w:color w:val="17365D"/>
                <w:sz w:val="21"/>
              </w:rPr>
              <w:t>Quelle doit être la taille du pilote et selon quels critères?</w:t>
            </w:r>
          </w:p>
        </w:tc>
      </w:tr>
    </w:tbl>
    <w:tbl>
      <w:tblPr>
        <w:tblW w:type="auto" w:w="0"/>
        <w:jc w:val="left"/>
        <w:tblLayout w:type="fixed"/>
        <w:tblLook w:firstColumn="1" w:firstRow="1" w:lastColumn="0" w:lastRow="0" w:noHBand="0" w:noVBand="1" w:val="04A0"/>
        <w:tblBorders>
          <w:top w:val="single" w:sz="2" w:color="D9DEE5"/>
          <w:left w:val="single" w:sz="2" w:color="D9DEE5"/>
          <w:bottom w:val="single" w:sz="2" w:color="D9DEE5"/>
          <w:right w:val="single" w:sz="2" w:color="D9DEE5"/>
          <w:insideH w:val="single" w:sz="2" w:color="D9DEE5"/>
          <w:insideV w:val="single" w:sz="2" w:color="D9DEE5"/>
        </w:tblBorders>
      </w:tblPr>
      <w:tblGrid>
        <w:gridCol w:w="5083"/>
        <w:gridCol w:w="5083"/>
      </w:tblGrid>
      <w:tr>
        <w:tc>
          <w:tcPr>
            <w:tcW w:type="dxa" w:w="5083"/>
            <w:vAlign w:val="center"/>
            <w:tcMar>
              <w:top w:w="90" w:type="dxa"/>
              <w:start w:w="90" w:type="dxa"/>
              <w:bottom w:w="90" w:type="dxa"/>
              <w:end w:w="90" w:type="dxa"/>
            </w:tcMar>
          </w:tcPr>
          <w:p>
            <w:pPr>
              <w:spacing w:after="0"/>
            </w:pPr>
            <w:r/>
            <w:r>
              <w:rPr>
                <w:rFonts w:ascii="Carlito" w:hAnsi="Carlito"/>
                <w:b/>
                <w:color w:val="2F75B5"/>
                <w:sz w:val="16"/>
              </w:rPr>
              <w:t>STATUT</w:t>
            </w:r>
          </w:p>
        </w:tc>
        <w:tc>
          <w:tcPr>
            <w:tcW w:type="dxa" w:w="5083"/>
            <w:vAlign w:val="center"/>
            <w:tcMar>
              <w:top w:w="90" w:type="dxa"/>
              <w:start w:w="90" w:type="dxa"/>
              <w:bottom w:w="90" w:type="dxa"/>
              <w:end w:w="90" w:type="dxa"/>
            </w:tcMar>
            <w:shd w:fill="FFF4CE"/>
          </w:tcPr>
          <w:p>
            <w:pPr>
              <w:spacing w:after="0"/>
            </w:pPr>
            <w:r/>
            <w:r>
              <w:rPr>
                <w:rFonts w:ascii="Carlito" w:hAnsi="Carlito"/>
                <w:b/>
                <w:color w:val="40464D"/>
                <w:sz w:val="17"/>
              </w:rPr>
              <w:t>OUVERT</w:t>
            </w:r>
          </w:p>
        </w:tc>
      </w:tr>
    </w:tbl>
    <w:p>
      <w:pPr>
        <w:keepNext/>
        <w:spacing w:after="40" w:line="252" w:lineRule="auto"/>
      </w:pPr>
      <w:r>
        <w:rPr>
          <w:rFonts w:ascii="Carlito" w:hAnsi="Carlito"/>
          <w:b/>
          <w:color w:val="2F75B5"/>
          <w:sz w:val="18"/>
        </w:rPr>
        <w:t>Contexte</w:t>
      </w:r>
    </w:p>
    <w:p>
      <w:pPr>
        <w:spacing w:after="100" w:line="252" w:lineRule="auto"/>
      </w:pPr>
      <w:r>
        <w:t>La charte prévoit un pilote encadré avant l’élargissement du programme, mais elle ne fixe ni le nombre de participants ni les critères de sélection.</w:t>
      </w:r>
    </w:p>
    <w:p>
      <w:pPr>
        <w:keepNext/>
        <w:spacing w:after="40" w:line="252" w:lineRule="auto"/>
      </w:pPr>
      <w:r>
        <w:rPr>
          <w:rFonts w:ascii="Carlito" w:hAnsi="Carlito"/>
          <w:b/>
          <w:color w:val="2F75B5"/>
          <w:sz w:val="18"/>
        </w:rPr>
        <w:t>Ce qui est établi</w:t>
      </w:r>
    </w:p>
    <w:p>
      <w:pPr>
        <w:spacing w:after="100" w:line="252" w:lineRule="auto"/>
      </w:pPr>
      <w:r>
        <w:t>La population cible du programme reste de 500 employés. Le pilote est une étape de préparation et ne doit pas être confondu avec la population cible globale.</w:t>
      </w:r>
    </w:p>
    <w:p>
      <w:pPr>
        <w:keepNext/>
        <w:spacing w:after="40" w:line="252" w:lineRule="auto"/>
      </w:pPr>
      <w:r>
        <w:rPr>
          <w:rFonts w:ascii="Carlito" w:hAnsi="Carlito"/>
          <w:b/>
          <w:color w:val="2F75B5"/>
          <w:sz w:val="18"/>
        </w:rPr>
        <w:t>Ce qui reste à clarifier</w:t>
      </w:r>
    </w:p>
    <w:p>
      <w:pPr>
        <w:spacing w:after="100" w:line="252" w:lineRule="auto"/>
      </w:pPr>
      <w:r>
        <w:t>Taille finale du pilote; fonctions représentées; régions ou unités incluses; critères d’admissibilité; mécanisme d’approbation de la liste.</w:t>
      </w:r>
    </w:p>
    <w:p>
      <w:pPr>
        <w:keepNext/>
        <w:spacing w:after="40" w:line="252" w:lineRule="auto"/>
      </w:pPr>
      <w:r>
        <w:rPr>
          <w:rFonts w:ascii="Carlito" w:hAnsi="Carlito"/>
          <w:b/>
          <w:color w:val="2F75B5"/>
          <w:sz w:val="18"/>
        </w:rPr>
        <w:t>Impact si non résolu</w:t>
      </w:r>
    </w:p>
    <w:p>
      <w:pPr>
        <w:spacing w:after="100" w:line="252" w:lineRule="auto"/>
      </w:pPr>
      <w:r>
        <w:t>Une taille trop importante pourrait dépasser la capacité de formation et de soutien; une taille trop faible pourrait réduire la valeur des apprentissages.</w:t>
      </w:r>
    </w:p>
    <w:p>
      <w:pPr>
        <w:keepNext/>
        <w:spacing w:after="40" w:line="252" w:lineRule="auto"/>
      </w:pPr>
      <w:r>
        <w:rPr>
          <w:rFonts w:ascii="Carlito" w:hAnsi="Carlito"/>
          <w:b/>
          <w:color w:val="2F75B5"/>
          <w:sz w:val="18"/>
        </w:rPr>
        <w:t>Fonctions concernées</w:t>
      </w:r>
    </w:p>
    <w:p>
      <w:pPr>
        <w:spacing w:after="100" w:line="252" w:lineRule="auto"/>
      </w:pPr>
      <w:r>
        <w:t>Ressources humaines + Responsable du programme + Formation</w:t>
      </w:r>
    </w:p>
    <w:p>
      <w:pPr>
        <w:keepNext/>
        <w:spacing w:after="40" w:line="252" w:lineRule="auto"/>
      </w:pPr>
      <w:r>
        <w:rPr>
          <w:rFonts w:ascii="Carlito" w:hAnsi="Carlito"/>
          <w:b/>
          <w:color w:val="2F75B5"/>
          <w:sz w:val="18"/>
        </w:rPr>
        <w:t>Résultat attendu</w:t>
      </w:r>
    </w:p>
    <w:p>
      <w:pPr>
        <w:spacing w:after="100" w:line="252" w:lineRule="auto"/>
      </w:pPr>
      <w:r>
        <w:t>Proposition de périmètre et critères à soumettre au comité de lancement.</w:t>
      </w:r>
    </w:p>
    <w:p>
      <w:pPr>
        <w:spacing w:after="20" w:line="252" w:lineRule="auto"/>
      </w:pPr>
    </w:p>
    <w:tbl>
      <w:tblPr>
        <w:tblW w:type="auto" w:w="0"/>
        <w:jc w:val="left"/>
        <w:tblLayout w:type="fixed"/>
        <w:tblLook w:firstColumn="1" w:firstRow="1" w:lastColumn="0" w:lastRow="0" w:noHBand="0" w:noVBand="1" w:val="04A0"/>
        <w:tblBorders>
          <w:top w:val="single" w:sz="3" w:color="D9DEE5"/>
          <w:left w:val="single" w:sz="3" w:color="D9DEE5"/>
          <w:bottom w:val="single" w:sz="3" w:color="D9DEE5"/>
          <w:right w:val="single" w:sz="3" w:color="D9DEE5"/>
          <w:insideH w:val="single" w:sz="3" w:color="D9DEE5"/>
          <w:insideV w:val="single" w:sz="3" w:color="D9DEE5"/>
        </w:tblBorders>
      </w:tblPr>
      <w:tblGrid>
        <w:gridCol w:w="5083"/>
        <w:gridCol w:w="5083"/>
      </w:tblGrid>
      <w:tr>
        <w:trPr>
          <w:cantSplit/>
        </w:trPr>
        <w:tc>
          <w:tcPr>
            <w:tcW w:type="dxa" w:w="5083"/>
            <w:vAlign w:val="center"/>
            <w:tcMar>
              <w:top w:w="90" w:type="dxa"/>
              <w:start w:w="90" w:type="dxa"/>
              <w:bottom w:w="90" w:type="dxa"/>
              <w:end w:w="90" w:type="dxa"/>
            </w:tcMar>
            <w:shd w:fill="2E8B8B"/>
          </w:tcPr>
          <w:p>
            <w:pPr>
              <w:spacing w:after="0"/>
              <w:jc w:val="center"/>
            </w:pPr>
            <w:r/>
            <w:r>
              <w:rPr>
                <w:rFonts w:ascii="Carlito" w:hAnsi="Carlito"/>
                <w:b/>
                <w:color w:val="FFFFFF"/>
                <w:sz w:val="20"/>
              </w:rPr>
              <w:t>Q-02</w:t>
            </w:r>
          </w:p>
        </w:tc>
        <w:tc>
          <w:tcPr>
            <w:tcW w:type="dxa" w:w="5083"/>
            <w:vAlign w:val="center"/>
            <w:tcMar>
              <w:top w:w="90" w:type="dxa"/>
              <w:start w:w="90" w:type="dxa"/>
              <w:bottom w:w="90" w:type="dxa"/>
              <w:end w:w="90" w:type="dxa"/>
            </w:tcMar>
            <w:shd w:fill="EAF6F6"/>
          </w:tcPr>
          <w:p>
            <w:pPr>
              <w:spacing w:after="0"/>
            </w:pPr>
            <w:r/>
            <w:r>
              <w:rPr>
                <w:rFonts w:ascii="Carlito" w:hAnsi="Carlito"/>
                <w:b/>
                <w:color w:val="17365D"/>
                <w:sz w:val="21"/>
              </w:rPr>
              <w:t>Comment la cible de 500 employés doit-elle être phasée?</w:t>
            </w:r>
          </w:p>
        </w:tc>
      </w:tr>
    </w:tbl>
    <w:tbl>
      <w:tblPr>
        <w:tblW w:type="auto" w:w="0"/>
        <w:jc w:val="left"/>
        <w:tblLayout w:type="fixed"/>
        <w:tblLook w:firstColumn="1" w:firstRow="1" w:lastColumn="0" w:lastRow="0" w:noHBand="0" w:noVBand="1" w:val="04A0"/>
        <w:tblBorders>
          <w:top w:val="single" w:sz="2" w:color="D9DEE5"/>
          <w:left w:val="single" w:sz="2" w:color="D9DEE5"/>
          <w:bottom w:val="single" w:sz="2" w:color="D9DEE5"/>
          <w:right w:val="single" w:sz="2" w:color="D9DEE5"/>
          <w:insideH w:val="single" w:sz="2" w:color="D9DEE5"/>
          <w:insideV w:val="single" w:sz="2" w:color="D9DEE5"/>
        </w:tblBorders>
      </w:tblPr>
      <w:tblGrid>
        <w:gridCol w:w="5083"/>
        <w:gridCol w:w="5083"/>
      </w:tblGrid>
      <w:tr>
        <w:tc>
          <w:tcPr>
            <w:tcW w:type="dxa" w:w="5083"/>
            <w:vAlign w:val="center"/>
            <w:tcMar>
              <w:top w:w="90" w:type="dxa"/>
              <w:start w:w="90" w:type="dxa"/>
              <w:bottom w:w="90" w:type="dxa"/>
              <w:end w:w="90" w:type="dxa"/>
            </w:tcMar>
          </w:tcPr>
          <w:p>
            <w:pPr>
              <w:spacing w:after="0"/>
            </w:pPr>
            <w:r/>
            <w:r>
              <w:rPr>
                <w:rFonts w:ascii="Carlito" w:hAnsi="Carlito"/>
                <w:b/>
                <w:color w:val="2F75B5"/>
                <w:sz w:val="16"/>
              </w:rPr>
              <w:t>STATUT</w:t>
            </w:r>
          </w:p>
        </w:tc>
        <w:tc>
          <w:tcPr>
            <w:tcW w:type="dxa" w:w="5083"/>
            <w:vAlign w:val="center"/>
            <w:tcMar>
              <w:top w:w="90" w:type="dxa"/>
              <w:start w:w="90" w:type="dxa"/>
              <w:bottom w:w="90" w:type="dxa"/>
              <w:end w:w="90" w:type="dxa"/>
            </w:tcMar>
            <w:shd w:fill="FFF4CE"/>
          </w:tcPr>
          <w:p>
            <w:pPr>
              <w:spacing w:after="0"/>
            </w:pPr>
            <w:r/>
            <w:r>
              <w:rPr>
                <w:rFonts w:ascii="Carlito" w:hAnsi="Carlito"/>
                <w:b/>
                <w:color w:val="40464D"/>
                <w:sz w:val="17"/>
              </w:rPr>
              <w:t>À CLARIFIER</w:t>
            </w:r>
          </w:p>
        </w:tc>
      </w:tr>
    </w:tbl>
    <w:p>
      <w:pPr>
        <w:keepNext/>
        <w:spacing w:after="40" w:line="252" w:lineRule="auto"/>
      </w:pPr>
      <w:r>
        <w:rPr>
          <w:rFonts w:ascii="Carlito" w:hAnsi="Carlito"/>
          <w:b/>
          <w:color w:val="2F75B5"/>
          <w:sz w:val="18"/>
        </w:rPr>
        <w:t>Contexte</w:t>
      </w:r>
    </w:p>
    <w:p>
      <w:pPr>
        <w:spacing w:after="100" w:line="252" w:lineRule="auto"/>
      </w:pPr>
      <w:r>
        <w:t>La charte fixe une population cible initiale de 500 employés pour le programme Atlas.</w:t>
      </w:r>
    </w:p>
    <w:p>
      <w:pPr>
        <w:keepNext/>
        <w:spacing w:after="40" w:line="252" w:lineRule="auto"/>
      </w:pPr>
      <w:r>
        <w:rPr>
          <w:rFonts w:ascii="Carlito" w:hAnsi="Carlito"/>
          <w:b/>
          <w:color w:val="2F75B5"/>
          <w:sz w:val="18"/>
        </w:rPr>
        <w:t>Ce qui est établi</w:t>
      </w:r>
    </w:p>
    <w:p>
      <w:pPr>
        <w:spacing w:after="100" w:line="252" w:lineRule="auto"/>
      </w:pPr>
      <w:r>
        <w:t>Le chiffre de 500 constitue la cible de référence approuvée pour le cadrage initial.</w:t>
      </w:r>
    </w:p>
    <w:p>
      <w:pPr>
        <w:keepNext/>
        <w:spacing w:after="40" w:line="252" w:lineRule="auto"/>
      </w:pPr>
      <w:r>
        <w:rPr>
          <w:rFonts w:ascii="Carlito" w:hAnsi="Carlito"/>
          <w:b/>
          <w:color w:val="2F75B5"/>
          <w:sz w:val="18"/>
        </w:rPr>
        <w:t>Ce qui reste à clarifier</w:t>
      </w:r>
    </w:p>
    <w:p>
      <w:pPr>
        <w:spacing w:after="100" w:line="252" w:lineRule="auto"/>
      </w:pPr>
      <w:r>
        <w:t>Répartition par vagues; séquence des populations; éventuelle cible intermédiaire; date à laquelle l’ensemble des 500 employés doit être couvert.</w:t>
      </w:r>
    </w:p>
    <w:p>
      <w:pPr>
        <w:keepNext/>
        <w:spacing w:after="40" w:line="252" w:lineRule="auto"/>
      </w:pPr>
      <w:r>
        <w:rPr>
          <w:rFonts w:ascii="Carlito" w:hAnsi="Carlito"/>
          <w:b/>
          <w:color w:val="2F75B5"/>
          <w:sz w:val="18"/>
        </w:rPr>
        <w:t>Impact si non résolu</w:t>
      </w:r>
    </w:p>
    <w:p>
      <w:pPr>
        <w:spacing w:after="100" w:line="252" w:lineRule="auto"/>
      </w:pPr>
      <w:r>
        <w:t>Une proposition de population inférieure peut représenter une phase ou une révision du programme. Elle ne doit pas être interprétée automatiquement comme une nouvelle cible approuvée.</w:t>
      </w:r>
    </w:p>
    <w:p>
      <w:pPr>
        <w:keepNext/>
        <w:spacing w:after="40" w:line="252" w:lineRule="auto"/>
      </w:pPr>
      <w:r>
        <w:rPr>
          <w:rFonts w:ascii="Carlito" w:hAnsi="Carlito"/>
          <w:b/>
          <w:color w:val="2F75B5"/>
          <w:sz w:val="18"/>
        </w:rPr>
        <w:t>Fonctions concernées</w:t>
      </w:r>
    </w:p>
    <w:p>
      <w:pPr>
        <w:spacing w:after="100" w:line="252" w:lineRule="auto"/>
      </w:pPr>
      <w:r>
        <w:t>Sponsor Opérations + Responsable du programme + RH</w:t>
      </w:r>
    </w:p>
    <w:p>
      <w:pPr>
        <w:keepNext/>
        <w:spacing w:after="40" w:line="252" w:lineRule="auto"/>
      </w:pPr>
      <w:r>
        <w:rPr>
          <w:rFonts w:ascii="Carlito" w:hAnsi="Carlito"/>
          <w:b/>
          <w:color w:val="2F75B5"/>
          <w:sz w:val="18"/>
        </w:rPr>
        <w:t>Résultat attendu</w:t>
      </w:r>
    </w:p>
    <w:p>
      <w:pPr>
        <w:spacing w:after="100" w:line="252" w:lineRule="auto"/>
      </w:pPr>
      <w:r>
        <w:t>Confirmer le modèle de phasage et, si nécessaire, soumettre toute modification de la cible globale à une décision formelle.</w:t>
      </w:r>
    </w:p>
    <w:p>
      <w:pPr>
        <w:spacing w:after="20" w:line="252" w:lineRule="auto"/>
      </w:pPr>
    </w:p>
    <w:tbl>
      <w:tblPr>
        <w:tblW w:type="auto" w:w="0"/>
        <w:jc w:val="left"/>
        <w:tblLayout w:type="fixed"/>
        <w:tblLook w:firstColumn="1" w:firstRow="1" w:lastColumn="0" w:lastRow="0" w:noHBand="0" w:noVBand="1" w:val="04A0"/>
        <w:tblBorders>
          <w:top w:val="single" w:sz="3" w:color="D9DEE5"/>
          <w:left w:val="single" w:sz="3" w:color="D9DEE5"/>
          <w:bottom w:val="single" w:sz="3" w:color="D9DEE5"/>
          <w:right w:val="single" w:sz="3" w:color="D9DEE5"/>
          <w:insideH w:val="single" w:sz="3" w:color="D9DEE5"/>
          <w:insideV w:val="single" w:sz="3" w:color="D9DEE5"/>
        </w:tblBorders>
      </w:tblPr>
      <w:tblGrid>
        <w:gridCol w:w="5083"/>
        <w:gridCol w:w="5083"/>
      </w:tblGrid>
      <w:tr>
        <w:trPr>
          <w:cantSplit/>
        </w:trPr>
        <w:tc>
          <w:tcPr>
            <w:tcW w:type="dxa" w:w="5083"/>
            <w:vAlign w:val="center"/>
            <w:tcMar>
              <w:top w:w="90" w:type="dxa"/>
              <w:start w:w="90" w:type="dxa"/>
              <w:bottom w:w="90" w:type="dxa"/>
              <w:end w:w="90" w:type="dxa"/>
            </w:tcMar>
            <w:shd w:fill="2E8B8B"/>
          </w:tcPr>
          <w:p>
            <w:pPr>
              <w:spacing w:after="0"/>
              <w:jc w:val="center"/>
            </w:pPr>
            <w:r/>
            <w:r>
              <w:rPr>
                <w:rFonts w:ascii="Carlito" w:hAnsi="Carlito"/>
                <w:b/>
                <w:color w:val="FFFFFF"/>
                <w:sz w:val="20"/>
              </w:rPr>
              <w:t>Q-03</w:t>
            </w:r>
          </w:p>
        </w:tc>
        <w:tc>
          <w:tcPr>
            <w:tcW w:type="dxa" w:w="5083"/>
            <w:vAlign w:val="center"/>
            <w:tcMar>
              <w:top w:w="90" w:type="dxa"/>
              <w:start w:w="90" w:type="dxa"/>
              <w:bottom w:w="90" w:type="dxa"/>
              <w:end w:w="90" w:type="dxa"/>
            </w:tcMar>
            <w:shd w:fill="EAF6F6"/>
          </w:tcPr>
          <w:p>
            <w:pPr>
              <w:spacing w:after="0"/>
            </w:pPr>
            <w:r/>
            <w:r>
              <w:rPr>
                <w:rFonts w:ascii="Carlito" w:hAnsi="Carlito"/>
                <w:b/>
                <w:color w:val="17365D"/>
                <w:sz w:val="21"/>
              </w:rPr>
              <w:t>Quel est le budget total du programme lorsque les licences sont incluses?</w:t>
            </w:r>
          </w:p>
        </w:tc>
      </w:tr>
    </w:tbl>
    <w:tbl>
      <w:tblPr>
        <w:tblW w:type="auto" w:w="0"/>
        <w:jc w:val="left"/>
        <w:tblLayout w:type="fixed"/>
        <w:tblLook w:firstColumn="1" w:firstRow="1" w:lastColumn="0" w:lastRow="0" w:noHBand="0" w:noVBand="1" w:val="04A0"/>
        <w:tblBorders>
          <w:top w:val="single" w:sz="2" w:color="D9DEE5"/>
          <w:left w:val="single" w:sz="2" w:color="D9DEE5"/>
          <w:bottom w:val="single" w:sz="2" w:color="D9DEE5"/>
          <w:right w:val="single" w:sz="2" w:color="D9DEE5"/>
          <w:insideH w:val="single" w:sz="2" w:color="D9DEE5"/>
          <w:insideV w:val="single" w:sz="2" w:color="D9DEE5"/>
        </w:tblBorders>
      </w:tblPr>
      <w:tblGrid>
        <w:gridCol w:w="5083"/>
        <w:gridCol w:w="5083"/>
      </w:tblGrid>
      <w:tr>
        <w:tc>
          <w:tcPr>
            <w:tcW w:type="dxa" w:w="5083"/>
            <w:vAlign w:val="center"/>
            <w:tcMar>
              <w:top w:w="90" w:type="dxa"/>
              <w:start w:w="90" w:type="dxa"/>
              <w:bottom w:w="90" w:type="dxa"/>
              <w:end w:w="90" w:type="dxa"/>
            </w:tcMar>
          </w:tcPr>
          <w:p>
            <w:pPr>
              <w:spacing w:after="0"/>
            </w:pPr>
            <w:r/>
            <w:r>
              <w:rPr>
                <w:rFonts w:ascii="Carlito" w:hAnsi="Carlito"/>
                <w:b/>
                <w:color w:val="2F75B5"/>
                <w:sz w:val="16"/>
              </w:rPr>
              <w:t>STATUT</w:t>
            </w:r>
          </w:p>
        </w:tc>
        <w:tc>
          <w:tcPr>
            <w:tcW w:type="dxa" w:w="5083"/>
            <w:vAlign w:val="center"/>
            <w:tcMar>
              <w:top w:w="90" w:type="dxa"/>
              <w:start w:w="90" w:type="dxa"/>
              <w:bottom w:w="90" w:type="dxa"/>
              <w:end w:w="90" w:type="dxa"/>
            </w:tcMar>
            <w:shd w:fill="FDE9E7"/>
          </w:tcPr>
          <w:p>
            <w:pPr>
              <w:spacing w:after="0"/>
            </w:pPr>
            <w:r/>
            <w:r>
              <w:rPr>
                <w:rFonts w:ascii="Carlito" w:hAnsi="Carlito"/>
                <w:b/>
                <w:color w:val="40464D"/>
                <w:sz w:val="17"/>
              </w:rPr>
              <w:t>OUVERT</w:t>
            </w:r>
          </w:p>
        </w:tc>
      </w:tr>
    </w:tbl>
    <w:p>
      <w:pPr>
        <w:keepNext/>
        <w:spacing w:after="40" w:line="252" w:lineRule="auto"/>
      </w:pPr>
      <w:r>
        <w:rPr>
          <w:rFonts w:ascii="Carlito" w:hAnsi="Carlito"/>
          <w:b/>
          <w:color w:val="2F75B5"/>
          <w:sz w:val="18"/>
        </w:rPr>
        <w:t>Contexte</w:t>
      </w:r>
    </w:p>
    <w:p>
      <w:pPr>
        <w:spacing w:after="100" w:line="252" w:lineRule="auto"/>
      </w:pPr>
      <w:r>
        <w:t>La charte réserve une enveloppe initiale de 120 000 $ CAD pour les activités de préparation, d’adoption, de formation, de soutien et de communication. Les licences sont explicitement exclues de cette enveloppe.</w:t>
      </w:r>
    </w:p>
    <w:p>
      <w:pPr>
        <w:keepNext/>
        <w:spacing w:after="40" w:line="252" w:lineRule="auto"/>
      </w:pPr>
      <w:r>
        <w:rPr>
          <w:rFonts w:ascii="Carlito" w:hAnsi="Carlito"/>
          <w:b/>
          <w:color w:val="2F75B5"/>
          <w:sz w:val="18"/>
        </w:rPr>
        <w:t>Ce qui est établi</w:t>
      </w:r>
    </w:p>
    <w:p>
      <w:pPr>
        <w:spacing w:after="100" w:line="252" w:lineRule="auto"/>
      </w:pPr>
      <w:r>
        <w:t>120 000 $ CAD constitue l’enveloppe initiale de cadrage; ce montant n’est pas un coût total « licences comprises ».</w:t>
      </w:r>
    </w:p>
    <w:p>
      <w:pPr>
        <w:keepNext/>
        <w:spacing w:after="40" w:line="252" w:lineRule="auto"/>
      </w:pPr>
      <w:r>
        <w:rPr>
          <w:rFonts w:ascii="Carlito" w:hAnsi="Carlito"/>
          <w:b/>
          <w:color w:val="2F75B5"/>
          <w:sz w:val="18"/>
        </w:rPr>
        <w:t>Ce qui reste à clarifier</w:t>
      </w:r>
    </w:p>
    <w:p>
      <w:pPr>
        <w:spacing w:after="100" w:line="252" w:lineRule="auto"/>
      </w:pPr>
      <w:r>
        <w:t>Coût exact des licences; durée d’engagement; coûts d’acquisition; ajustements des postes de formation, soutien, communication et événements; réserve requise.</w:t>
      </w:r>
    </w:p>
    <w:p>
      <w:pPr>
        <w:keepNext/>
        <w:spacing w:after="40" w:line="252" w:lineRule="auto"/>
      </w:pPr>
      <w:r>
        <w:rPr>
          <w:rFonts w:ascii="Carlito" w:hAnsi="Carlito"/>
          <w:b/>
          <w:color w:val="2F75B5"/>
          <w:sz w:val="18"/>
        </w:rPr>
        <w:t>Impact si non résolu</w:t>
      </w:r>
    </w:p>
    <w:p>
      <w:pPr>
        <w:spacing w:after="100" w:line="252" w:lineRule="auto"/>
      </w:pPr>
      <w:r>
        <w:t>Le comité ne peut pas considérer une estimation de fichier de travail comme un budget approuvé tant qu’une validation financière n’a pas eu lieu.</w:t>
      </w:r>
    </w:p>
    <w:p>
      <w:pPr>
        <w:keepNext/>
        <w:spacing w:after="40" w:line="252" w:lineRule="auto"/>
      </w:pPr>
      <w:r>
        <w:rPr>
          <w:rFonts w:ascii="Carlito" w:hAnsi="Carlito"/>
          <w:b/>
          <w:color w:val="2F75B5"/>
          <w:sz w:val="18"/>
        </w:rPr>
        <w:t>Fonctions concernées</w:t>
      </w:r>
    </w:p>
    <w:p>
      <w:pPr>
        <w:spacing w:after="100" w:line="252" w:lineRule="auto"/>
      </w:pPr>
      <w:r>
        <w:t>Finance + Achats + Responsable du programme</w:t>
      </w:r>
    </w:p>
    <w:p>
      <w:pPr>
        <w:keepNext/>
        <w:spacing w:after="40" w:line="252" w:lineRule="auto"/>
      </w:pPr>
      <w:r>
        <w:rPr>
          <w:rFonts w:ascii="Carlito" w:hAnsi="Carlito"/>
          <w:b/>
          <w:color w:val="2F75B5"/>
          <w:sz w:val="18"/>
        </w:rPr>
        <w:t>Résultat attendu</w:t>
      </w:r>
    </w:p>
    <w:p>
      <w:pPr>
        <w:spacing w:after="100" w:line="252" w:lineRule="auto"/>
      </w:pPr>
      <w:r>
        <w:t>Produire un budget de référence complet et obtenir la validation financière avant engagement.</w:t>
      </w:r>
    </w:p>
    <w:p>
      <w:pPr>
        <w:spacing w:after="20" w:line="252" w:lineRule="auto"/>
      </w:pPr>
    </w:p>
    <w:tbl>
      <w:tblPr>
        <w:tblW w:type="auto" w:w="0"/>
        <w:jc w:val="left"/>
        <w:tblLayout w:type="fixed"/>
        <w:tblLook w:firstColumn="1" w:firstRow="1" w:lastColumn="0" w:lastRow="0" w:noHBand="0" w:noVBand="1" w:val="04A0"/>
        <w:tblBorders>
          <w:top w:val="single" w:sz="3" w:color="D9DEE5"/>
          <w:left w:val="single" w:sz="3" w:color="D9DEE5"/>
          <w:bottom w:val="single" w:sz="3" w:color="D9DEE5"/>
          <w:right w:val="single" w:sz="3" w:color="D9DEE5"/>
          <w:insideH w:val="single" w:sz="3" w:color="D9DEE5"/>
          <w:insideV w:val="single" w:sz="3" w:color="D9DEE5"/>
        </w:tblBorders>
      </w:tblPr>
      <w:tblGrid>
        <w:gridCol w:w="5083"/>
        <w:gridCol w:w="5083"/>
      </w:tblGrid>
      <w:tr>
        <w:trPr>
          <w:cantSplit/>
        </w:trPr>
        <w:tc>
          <w:tcPr>
            <w:tcW w:type="dxa" w:w="5083"/>
            <w:vAlign w:val="center"/>
            <w:tcMar>
              <w:top w:w="90" w:type="dxa"/>
              <w:start w:w="90" w:type="dxa"/>
              <w:bottom w:w="90" w:type="dxa"/>
              <w:end w:w="90" w:type="dxa"/>
            </w:tcMar>
            <w:shd w:fill="2E8B8B"/>
          </w:tcPr>
          <w:p>
            <w:pPr>
              <w:spacing w:after="0"/>
              <w:jc w:val="center"/>
            </w:pPr>
            <w:r/>
            <w:r>
              <w:rPr>
                <w:rFonts w:ascii="Carlito" w:hAnsi="Carlito"/>
                <w:b/>
                <w:color w:val="FFFFFF"/>
                <w:sz w:val="20"/>
              </w:rPr>
              <w:t>Q-04</w:t>
            </w:r>
          </w:p>
        </w:tc>
        <w:tc>
          <w:tcPr>
            <w:tcW w:type="dxa" w:w="5083"/>
            <w:vAlign w:val="center"/>
            <w:tcMar>
              <w:top w:w="90" w:type="dxa"/>
              <w:start w:w="90" w:type="dxa"/>
              <w:bottom w:w="90" w:type="dxa"/>
              <w:end w:w="90" w:type="dxa"/>
            </w:tcMar>
            <w:shd w:fill="EAF6F6"/>
          </w:tcPr>
          <w:p>
            <w:pPr>
              <w:spacing w:after="0"/>
            </w:pPr>
            <w:r/>
            <w:r>
              <w:rPr>
                <w:rFonts w:ascii="Carlito" w:hAnsi="Carlito"/>
                <w:b/>
                <w:color w:val="17365D"/>
                <w:sz w:val="21"/>
              </w:rPr>
              <w:t>Le calendrier d’acquisition est-il compatible avec le 15 octobre?</w:t>
            </w:r>
          </w:p>
        </w:tc>
      </w:tr>
    </w:tbl>
    <w:tbl>
      <w:tblPr>
        <w:tblW w:type="auto" w:w="0"/>
        <w:jc w:val="left"/>
        <w:tblLayout w:type="fixed"/>
        <w:tblLook w:firstColumn="1" w:firstRow="1" w:lastColumn="0" w:lastRow="0" w:noHBand="0" w:noVBand="1" w:val="04A0"/>
        <w:tblBorders>
          <w:top w:val="single" w:sz="2" w:color="D9DEE5"/>
          <w:left w:val="single" w:sz="2" w:color="D9DEE5"/>
          <w:bottom w:val="single" w:sz="2" w:color="D9DEE5"/>
          <w:right w:val="single" w:sz="2" w:color="D9DEE5"/>
          <w:insideH w:val="single" w:sz="2" w:color="D9DEE5"/>
          <w:insideV w:val="single" w:sz="2" w:color="D9DEE5"/>
        </w:tblBorders>
      </w:tblPr>
      <w:tblGrid>
        <w:gridCol w:w="5083"/>
        <w:gridCol w:w="5083"/>
      </w:tblGrid>
      <w:tr>
        <w:tc>
          <w:tcPr>
            <w:tcW w:type="dxa" w:w="5083"/>
            <w:vAlign w:val="center"/>
            <w:tcMar>
              <w:top w:w="90" w:type="dxa"/>
              <w:start w:w="90" w:type="dxa"/>
              <w:bottom w:w="90" w:type="dxa"/>
              <w:end w:w="90" w:type="dxa"/>
            </w:tcMar>
          </w:tcPr>
          <w:p>
            <w:pPr>
              <w:spacing w:after="0"/>
            </w:pPr>
            <w:r/>
            <w:r>
              <w:rPr>
                <w:rFonts w:ascii="Carlito" w:hAnsi="Carlito"/>
                <w:b/>
                <w:color w:val="2F75B5"/>
                <w:sz w:val="16"/>
              </w:rPr>
              <w:t>STATUT</w:t>
            </w:r>
          </w:p>
        </w:tc>
        <w:tc>
          <w:tcPr>
            <w:tcW w:type="dxa" w:w="5083"/>
            <w:vAlign w:val="center"/>
            <w:tcMar>
              <w:top w:w="90" w:type="dxa"/>
              <w:start w:w="90" w:type="dxa"/>
              <w:bottom w:w="90" w:type="dxa"/>
              <w:end w:w="90" w:type="dxa"/>
            </w:tcMar>
            <w:shd w:fill="FFF4CE"/>
          </w:tcPr>
          <w:p>
            <w:pPr>
              <w:spacing w:after="0"/>
            </w:pPr>
            <w:r/>
            <w:r>
              <w:rPr>
                <w:rFonts w:ascii="Carlito" w:hAnsi="Carlito"/>
                <w:b/>
                <w:color w:val="40464D"/>
                <w:sz w:val="17"/>
              </w:rPr>
              <w:t>À CONFIRMER</w:t>
            </w:r>
          </w:p>
        </w:tc>
      </w:tr>
    </w:tbl>
    <w:p>
      <w:pPr>
        <w:keepNext/>
        <w:spacing w:after="40" w:line="252" w:lineRule="auto"/>
      </w:pPr>
      <w:r>
        <w:rPr>
          <w:rFonts w:ascii="Carlito" w:hAnsi="Carlito"/>
          <w:b/>
          <w:color w:val="2F75B5"/>
          <w:sz w:val="18"/>
        </w:rPr>
        <w:t>Contexte</w:t>
      </w:r>
    </w:p>
    <w:p>
      <w:pPr>
        <w:spacing w:after="100" w:line="252" w:lineRule="auto"/>
      </w:pPr>
      <w:r>
        <w:t>La date cible de lancement organisationnel est le 15 octobre 2026.</w:t>
      </w:r>
    </w:p>
    <w:p>
      <w:pPr>
        <w:keepNext/>
        <w:spacing w:after="40" w:line="252" w:lineRule="auto"/>
      </w:pPr>
      <w:r>
        <w:rPr>
          <w:rFonts w:ascii="Carlito" w:hAnsi="Carlito"/>
          <w:b/>
          <w:color w:val="2F75B5"/>
          <w:sz w:val="18"/>
        </w:rPr>
        <w:t>Ce qui est établi</w:t>
      </w:r>
    </w:p>
    <w:p>
      <w:pPr>
        <w:spacing w:after="100" w:line="252" w:lineRule="auto"/>
      </w:pPr>
      <w:r>
        <w:t>La charte exige que les coûts de licences soient validés avant engagement.</w:t>
      </w:r>
    </w:p>
    <w:p>
      <w:pPr>
        <w:keepNext/>
        <w:spacing w:after="40" w:line="252" w:lineRule="auto"/>
      </w:pPr>
      <w:r>
        <w:rPr>
          <w:rFonts w:ascii="Carlito" w:hAnsi="Carlito"/>
          <w:b/>
          <w:color w:val="2F75B5"/>
          <w:sz w:val="18"/>
        </w:rPr>
        <w:t>Ce qui reste à clarifier</w:t>
      </w:r>
    </w:p>
    <w:p>
      <w:pPr>
        <w:spacing w:after="100" w:line="252" w:lineRule="auto"/>
      </w:pPr>
      <w:r>
        <w:t>Délai réel d’acquisition; étapes contractuelles; disponibilité des licences; date limite de commande nécessaire pour respecter le calendrier.</w:t>
      </w:r>
    </w:p>
    <w:p>
      <w:pPr>
        <w:keepNext/>
        <w:spacing w:after="40" w:line="252" w:lineRule="auto"/>
      </w:pPr>
      <w:r>
        <w:rPr>
          <w:rFonts w:ascii="Carlito" w:hAnsi="Carlito"/>
          <w:b/>
          <w:color w:val="2F75B5"/>
          <w:sz w:val="18"/>
        </w:rPr>
        <w:t>Impact si non résolu</w:t>
      </w:r>
    </w:p>
    <w:p>
      <w:pPr>
        <w:spacing w:after="100" w:line="252" w:lineRule="auto"/>
      </w:pPr>
      <w:r>
        <w:t>Un délai d’approvisionnement plus long que prévu pourrait imposer un lancement limité, une adaptation du périmètre ou une révision de la date cible.</w:t>
      </w:r>
    </w:p>
    <w:p>
      <w:pPr>
        <w:keepNext/>
        <w:spacing w:after="40" w:line="252" w:lineRule="auto"/>
      </w:pPr>
      <w:r>
        <w:rPr>
          <w:rFonts w:ascii="Carlito" w:hAnsi="Carlito"/>
          <w:b/>
          <w:color w:val="2F75B5"/>
          <w:sz w:val="18"/>
        </w:rPr>
        <w:t>Fonctions concernées</w:t>
      </w:r>
    </w:p>
    <w:p>
      <w:pPr>
        <w:spacing w:after="100" w:line="252" w:lineRule="auto"/>
      </w:pPr>
      <w:r>
        <w:t>Achats + Finance + Responsable du programme</w:t>
      </w:r>
    </w:p>
    <w:p>
      <w:pPr>
        <w:keepNext/>
        <w:spacing w:after="40" w:line="252" w:lineRule="auto"/>
      </w:pPr>
      <w:r>
        <w:rPr>
          <w:rFonts w:ascii="Carlito" w:hAnsi="Carlito"/>
          <w:b/>
          <w:color w:val="2F75B5"/>
          <w:sz w:val="18"/>
        </w:rPr>
        <w:t>Résultat attendu</w:t>
      </w:r>
    </w:p>
    <w:p>
      <w:pPr>
        <w:spacing w:after="100" w:line="252" w:lineRule="auto"/>
      </w:pPr>
      <w:r>
        <w:t>Confirmer le chemin critique d’acquisition et la dernière date réaliste d’engagement.</w:t>
      </w:r>
    </w:p>
    <w:p>
      <w:pPr>
        <w:spacing w:after="20" w:line="252" w:lineRule="auto"/>
      </w:pPr>
    </w:p>
    <w:tbl>
      <w:tblPr>
        <w:tblW w:type="auto" w:w="0"/>
        <w:jc w:val="left"/>
        <w:tblLayout w:type="fixed"/>
        <w:tblLook w:firstColumn="1" w:firstRow="1" w:lastColumn="0" w:lastRow="0" w:noHBand="0" w:noVBand="1" w:val="04A0"/>
        <w:tblBorders>
          <w:top w:val="single" w:sz="3" w:color="D9DEE5"/>
          <w:left w:val="single" w:sz="3" w:color="D9DEE5"/>
          <w:bottom w:val="single" w:sz="3" w:color="D9DEE5"/>
          <w:right w:val="single" w:sz="3" w:color="D9DEE5"/>
          <w:insideH w:val="single" w:sz="3" w:color="D9DEE5"/>
          <w:insideV w:val="single" w:sz="3" w:color="D9DEE5"/>
        </w:tblBorders>
      </w:tblPr>
      <w:tblGrid>
        <w:gridCol w:w="5083"/>
        <w:gridCol w:w="5083"/>
      </w:tblGrid>
      <w:tr>
        <w:trPr>
          <w:cantSplit/>
        </w:trPr>
        <w:tc>
          <w:tcPr>
            <w:tcW w:type="dxa" w:w="5083"/>
            <w:vAlign w:val="center"/>
            <w:tcMar>
              <w:top w:w="90" w:type="dxa"/>
              <w:start w:w="90" w:type="dxa"/>
              <w:bottom w:w="90" w:type="dxa"/>
              <w:end w:w="90" w:type="dxa"/>
            </w:tcMar>
            <w:shd w:fill="2E8B8B"/>
          </w:tcPr>
          <w:p>
            <w:pPr>
              <w:spacing w:after="0"/>
              <w:jc w:val="center"/>
            </w:pPr>
            <w:r/>
            <w:r>
              <w:rPr>
                <w:rFonts w:ascii="Carlito" w:hAnsi="Carlito"/>
                <w:b/>
                <w:color w:val="FFFFFF"/>
                <w:sz w:val="20"/>
              </w:rPr>
              <w:t>Q-05</w:t>
            </w:r>
          </w:p>
        </w:tc>
        <w:tc>
          <w:tcPr>
            <w:tcW w:type="dxa" w:w="5083"/>
            <w:vAlign w:val="center"/>
            <w:tcMar>
              <w:top w:w="90" w:type="dxa"/>
              <w:start w:w="90" w:type="dxa"/>
              <w:bottom w:w="90" w:type="dxa"/>
              <w:end w:w="90" w:type="dxa"/>
            </w:tcMar>
            <w:shd w:fill="EAF6F6"/>
          </w:tcPr>
          <w:p>
            <w:pPr>
              <w:spacing w:after="0"/>
            </w:pPr>
            <w:r/>
            <w:r>
              <w:rPr>
                <w:rFonts w:ascii="Carlito" w:hAnsi="Carlito"/>
                <w:b/>
                <w:color w:val="17365D"/>
                <w:sz w:val="21"/>
              </w:rPr>
              <w:t>Quelles données peuvent être utilisées pendant le pilote?</w:t>
            </w:r>
          </w:p>
        </w:tc>
      </w:tr>
    </w:tbl>
    <w:tbl>
      <w:tblPr>
        <w:tblW w:type="auto" w:w="0"/>
        <w:jc w:val="left"/>
        <w:tblLayout w:type="fixed"/>
        <w:tblLook w:firstColumn="1" w:firstRow="1" w:lastColumn="0" w:lastRow="0" w:noHBand="0" w:noVBand="1" w:val="04A0"/>
        <w:tblBorders>
          <w:top w:val="single" w:sz="2" w:color="D9DEE5"/>
          <w:left w:val="single" w:sz="2" w:color="D9DEE5"/>
          <w:bottom w:val="single" w:sz="2" w:color="D9DEE5"/>
          <w:right w:val="single" w:sz="2" w:color="D9DEE5"/>
          <w:insideH w:val="single" w:sz="2" w:color="D9DEE5"/>
          <w:insideV w:val="single" w:sz="2" w:color="D9DEE5"/>
        </w:tblBorders>
      </w:tblPr>
      <w:tblGrid>
        <w:gridCol w:w="5083"/>
        <w:gridCol w:w="5083"/>
      </w:tblGrid>
      <w:tr>
        <w:tc>
          <w:tcPr>
            <w:tcW w:type="dxa" w:w="5083"/>
            <w:vAlign w:val="center"/>
            <w:tcMar>
              <w:top w:w="90" w:type="dxa"/>
              <w:start w:w="90" w:type="dxa"/>
              <w:bottom w:w="90" w:type="dxa"/>
              <w:end w:w="90" w:type="dxa"/>
            </w:tcMar>
          </w:tcPr>
          <w:p>
            <w:pPr>
              <w:spacing w:after="0"/>
            </w:pPr>
            <w:r/>
            <w:r>
              <w:rPr>
                <w:rFonts w:ascii="Carlito" w:hAnsi="Carlito"/>
                <w:b/>
                <w:color w:val="2F75B5"/>
                <w:sz w:val="16"/>
              </w:rPr>
              <w:t>STATUT</w:t>
            </w:r>
          </w:p>
        </w:tc>
        <w:tc>
          <w:tcPr>
            <w:tcW w:type="dxa" w:w="5083"/>
            <w:vAlign w:val="center"/>
            <w:tcMar>
              <w:top w:w="90" w:type="dxa"/>
              <w:start w:w="90" w:type="dxa"/>
              <w:bottom w:w="90" w:type="dxa"/>
              <w:end w:w="90" w:type="dxa"/>
            </w:tcMar>
            <w:shd w:fill="FDE9E7"/>
          </w:tcPr>
          <w:p>
            <w:pPr>
              <w:spacing w:after="0"/>
            </w:pPr>
            <w:r/>
            <w:r>
              <w:rPr>
                <w:rFonts w:ascii="Carlito" w:hAnsi="Carlito"/>
                <w:b/>
                <w:color w:val="40464D"/>
                <w:sz w:val="17"/>
              </w:rPr>
              <w:t>VALIDATION REQUISE</w:t>
            </w:r>
          </w:p>
        </w:tc>
      </w:tr>
    </w:tbl>
    <w:p>
      <w:pPr>
        <w:keepNext/>
        <w:spacing w:after="40" w:line="252" w:lineRule="auto"/>
      </w:pPr>
      <w:r>
        <w:rPr>
          <w:rFonts w:ascii="Carlito" w:hAnsi="Carlito"/>
          <w:b/>
          <w:color w:val="2F75B5"/>
          <w:sz w:val="18"/>
        </w:rPr>
        <w:t>Contexte</w:t>
      </w:r>
    </w:p>
    <w:p>
      <w:pPr>
        <w:spacing w:after="100" w:line="252" w:lineRule="auto"/>
      </w:pPr>
      <w:r>
        <w:t>La charte interdit l’utilisation de données ou contenus sensibles dans le pilote tant que les conditions de sécurité et de conformité applicables ne sont pas validées.</w:t>
      </w:r>
    </w:p>
    <w:p>
      <w:pPr>
        <w:keepNext/>
        <w:spacing w:after="40" w:line="252" w:lineRule="auto"/>
      </w:pPr>
      <w:r>
        <w:rPr>
          <w:rFonts w:ascii="Carlito" w:hAnsi="Carlito"/>
          <w:b/>
          <w:color w:val="2F75B5"/>
          <w:sz w:val="18"/>
        </w:rPr>
        <w:t>Ce qui est établi</w:t>
      </w:r>
    </w:p>
    <w:p>
      <w:pPr>
        <w:spacing w:after="100" w:line="252" w:lineRule="auto"/>
      </w:pPr>
      <w:r>
        <w:t>L’accès technique à une information ne constitue pas à lui seul une autorisation de l’utiliser dans le contexte du pilote.</w:t>
      </w:r>
    </w:p>
    <w:p>
      <w:pPr>
        <w:keepNext/>
        <w:spacing w:after="40" w:line="252" w:lineRule="auto"/>
      </w:pPr>
      <w:r>
        <w:rPr>
          <w:rFonts w:ascii="Carlito" w:hAnsi="Carlito"/>
          <w:b/>
          <w:color w:val="2F75B5"/>
          <w:sz w:val="18"/>
        </w:rPr>
        <w:t>Ce qui reste à clarifier</w:t>
      </w:r>
    </w:p>
    <w:p>
      <w:pPr>
        <w:spacing w:after="100" w:line="252" w:lineRule="auto"/>
      </w:pPr>
      <w:r>
        <w:t>Catégories de données autorisées; traitements interdits; cas nécessitant une validation préalable; exigences de confidentialité, rétention ou traçabilité.</w:t>
      </w:r>
    </w:p>
    <w:p>
      <w:pPr>
        <w:keepNext/>
        <w:spacing w:after="40" w:line="252" w:lineRule="auto"/>
      </w:pPr>
      <w:r>
        <w:rPr>
          <w:rFonts w:ascii="Carlito" w:hAnsi="Carlito"/>
          <w:b/>
          <w:color w:val="2F75B5"/>
          <w:sz w:val="18"/>
        </w:rPr>
        <w:t>Impact si non résolu</w:t>
      </w:r>
    </w:p>
    <w:p>
      <w:pPr>
        <w:spacing w:after="100" w:line="252" w:lineRule="auto"/>
      </w:pPr>
      <w:r>
        <w:t>Une interprétation trop large pourrait exposer l’organisation à des risques de conformité ou créer de mauvaises pratiques dès le pilote.</w:t>
      </w:r>
    </w:p>
    <w:p>
      <w:pPr>
        <w:keepNext/>
        <w:spacing w:after="40" w:line="252" w:lineRule="auto"/>
      </w:pPr>
      <w:r>
        <w:rPr>
          <w:rFonts w:ascii="Carlito" w:hAnsi="Carlito"/>
          <w:b/>
          <w:color w:val="2F75B5"/>
          <w:sz w:val="18"/>
        </w:rPr>
        <w:t>Fonctions concernées</w:t>
      </w:r>
    </w:p>
    <w:p>
      <w:pPr>
        <w:spacing w:after="100" w:line="252" w:lineRule="auto"/>
      </w:pPr>
      <w:r>
        <w:t>Juridique + Conformité + Sécurité / TI</w:t>
      </w:r>
    </w:p>
    <w:p>
      <w:pPr>
        <w:keepNext/>
        <w:spacing w:after="40" w:line="252" w:lineRule="auto"/>
      </w:pPr>
      <w:r>
        <w:rPr>
          <w:rFonts w:ascii="Carlito" w:hAnsi="Carlito"/>
          <w:b/>
          <w:color w:val="2F75B5"/>
          <w:sz w:val="18"/>
        </w:rPr>
        <w:t>Résultat attendu</w:t>
      </w:r>
    </w:p>
    <w:p>
      <w:pPr>
        <w:spacing w:after="100" w:line="252" w:lineRule="auto"/>
      </w:pPr>
      <w:r>
        <w:t>Publier des règles d’usage explicites avant l’ouverture du pilote.</w:t>
      </w:r>
    </w:p>
    <w:p>
      <w:pPr>
        <w:spacing w:after="20" w:line="252" w:lineRule="auto"/>
      </w:pPr>
    </w:p>
    <w:tbl>
      <w:tblPr>
        <w:tblW w:type="auto" w:w="0"/>
        <w:jc w:val="left"/>
        <w:tblLayout w:type="fixed"/>
        <w:tblLook w:firstColumn="1" w:firstRow="1" w:lastColumn="0" w:lastRow="0" w:noHBand="0" w:noVBand="1" w:val="04A0"/>
        <w:tblBorders>
          <w:top w:val="single" w:sz="3" w:color="D9DEE5"/>
          <w:left w:val="single" w:sz="3" w:color="D9DEE5"/>
          <w:bottom w:val="single" w:sz="3" w:color="D9DEE5"/>
          <w:right w:val="single" w:sz="3" w:color="D9DEE5"/>
          <w:insideH w:val="single" w:sz="3" w:color="D9DEE5"/>
          <w:insideV w:val="single" w:sz="3" w:color="D9DEE5"/>
        </w:tblBorders>
      </w:tblPr>
      <w:tblGrid>
        <w:gridCol w:w="5083"/>
        <w:gridCol w:w="5083"/>
      </w:tblGrid>
      <w:tr>
        <w:trPr>
          <w:cantSplit/>
        </w:trPr>
        <w:tc>
          <w:tcPr>
            <w:tcW w:type="dxa" w:w="5083"/>
            <w:vAlign w:val="center"/>
            <w:tcMar>
              <w:top w:w="90" w:type="dxa"/>
              <w:start w:w="90" w:type="dxa"/>
              <w:bottom w:w="90" w:type="dxa"/>
              <w:end w:w="90" w:type="dxa"/>
            </w:tcMar>
            <w:shd w:fill="2E8B8B"/>
          </w:tcPr>
          <w:p>
            <w:pPr>
              <w:spacing w:after="0"/>
              <w:jc w:val="center"/>
            </w:pPr>
            <w:r/>
            <w:r>
              <w:rPr>
                <w:rFonts w:ascii="Carlito" w:hAnsi="Carlito"/>
                <w:b/>
                <w:color w:val="FFFFFF"/>
                <w:sz w:val="20"/>
              </w:rPr>
              <w:t>Q-06</w:t>
            </w:r>
          </w:p>
        </w:tc>
        <w:tc>
          <w:tcPr>
            <w:tcW w:type="dxa" w:w="5083"/>
            <w:vAlign w:val="center"/>
            <w:tcMar>
              <w:top w:w="90" w:type="dxa"/>
              <w:start w:w="90" w:type="dxa"/>
              <w:bottom w:w="90" w:type="dxa"/>
              <w:end w:w="90" w:type="dxa"/>
            </w:tcMar>
            <w:shd w:fill="EAF6F6"/>
          </w:tcPr>
          <w:p>
            <w:pPr>
              <w:spacing w:after="0"/>
            </w:pPr>
            <w:r/>
            <w:r>
              <w:rPr>
                <w:rFonts w:ascii="Carlito" w:hAnsi="Carlito"/>
                <w:b/>
                <w:color w:val="17365D"/>
                <w:sz w:val="21"/>
              </w:rPr>
              <w:t>Qui valide les réponses et livrables produits avec Copilot?</w:t>
            </w:r>
          </w:p>
        </w:tc>
      </w:tr>
    </w:tbl>
    <w:tbl>
      <w:tblPr>
        <w:tblW w:type="auto" w:w="0"/>
        <w:jc w:val="left"/>
        <w:tblLayout w:type="fixed"/>
        <w:tblLook w:firstColumn="1" w:firstRow="1" w:lastColumn="0" w:lastRow="0" w:noHBand="0" w:noVBand="1" w:val="04A0"/>
        <w:tblBorders>
          <w:top w:val="single" w:sz="2" w:color="D9DEE5"/>
          <w:left w:val="single" w:sz="2" w:color="D9DEE5"/>
          <w:bottom w:val="single" w:sz="2" w:color="D9DEE5"/>
          <w:right w:val="single" w:sz="2" w:color="D9DEE5"/>
          <w:insideH w:val="single" w:sz="2" w:color="D9DEE5"/>
          <w:insideV w:val="single" w:sz="2" w:color="D9DEE5"/>
        </w:tblBorders>
      </w:tblPr>
      <w:tblGrid>
        <w:gridCol w:w="5083"/>
        <w:gridCol w:w="5083"/>
      </w:tblGrid>
      <w:tr>
        <w:tc>
          <w:tcPr>
            <w:tcW w:type="dxa" w:w="5083"/>
            <w:vAlign w:val="center"/>
            <w:tcMar>
              <w:top w:w="90" w:type="dxa"/>
              <w:start w:w="90" w:type="dxa"/>
              <w:bottom w:w="90" w:type="dxa"/>
              <w:end w:w="90" w:type="dxa"/>
            </w:tcMar>
          </w:tcPr>
          <w:p>
            <w:pPr>
              <w:spacing w:after="0"/>
            </w:pPr>
            <w:r/>
            <w:r>
              <w:rPr>
                <w:rFonts w:ascii="Carlito" w:hAnsi="Carlito"/>
                <w:b/>
                <w:color w:val="2F75B5"/>
                <w:sz w:val="16"/>
              </w:rPr>
              <w:t>STATUT</w:t>
            </w:r>
          </w:p>
        </w:tc>
        <w:tc>
          <w:tcPr>
            <w:tcW w:type="dxa" w:w="5083"/>
            <w:vAlign w:val="center"/>
            <w:tcMar>
              <w:top w:w="90" w:type="dxa"/>
              <w:start w:w="90" w:type="dxa"/>
              <w:bottom w:w="90" w:type="dxa"/>
              <w:end w:w="90" w:type="dxa"/>
            </w:tcMar>
            <w:shd w:fill="FFF4CE"/>
          </w:tcPr>
          <w:p>
            <w:pPr>
              <w:spacing w:after="0"/>
            </w:pPr>
            <w:r/>
            <w:r>
              <w:rPr>
                <w:rFonts w:ascii="Carlito" w:hAnsi="Carlito"/>
                <w:b/>
                <w:color w:val="40464D"/>
                <w:sz w:val="17"/>
              </w:rPr>
              <w:t>OUVERT</w:t>
            </w:r>
          </w:p>
        </w:tc>
      </w:tr>
    </w:tbl>
    <w:p>
      <w:pPr>
        <w:keepNext/>
        <w:spacing w:after="40" w:line="252" w:lineRule="auto"/>
      </w:pPr>
      <w:r>
        <w:rPr>
          <w:rFonts w:ascii="Carlito" w:hAnsi="Carlito"/>
          <w:b/>
          <w:color w:val="2F75B5"/>
          <w:sz w:val="18"/>
        </w:rPr>
        <w:t>Contexte</w:t>
      </w:r>
    </w:p>
    <w:p>
      <w:pPr>
        <w:spacing w:after="100" w:line="252" w:lineRule="auto"/>
      </w:pPr>
      <w:r>
        <w:t>La charte retient le principe de validation humaine des résultats produits par l’IA.</w:t>
      </w:r>
    </w:p>
    <w:p>
      <w:pPr>
        <w:keepNext/>
        <w:spacing w:after="40" w:line="252" w:lineRule="auto"/>
      </w:pPr>
      <w:r>
        <w:rPr>
          <w:rFonts w:ascii="Carlito" w:hAnsi="Carlito"/>
          <w:b/>
          <w:color w:val="2F75B5"/>
          <w:sz w:val="18"/>
        </w:rPr>
        <w:t>Ce qui est établi</w:t>
      </w:r>
    </w:p>
    <w:p>
      <w:pPr>
        <w:spacing w:after="100" w:line="252" w:lineRule="auto"/>
      </w:pPr>
      <w:r>
        <w:t>Copilot peut assister l’analyse et la production; il ne constitue pas une autorité de validation et ne prend pas les décisions du projet.</w:t>
      </w:r>
    </w:p>
    <w:p>
      <w:pPr>
        <w:keepNext/>
        <w:spacing w:after="40" w:line="252" w:lineRule="auto"/>
      </w:pPr>
      <w:r>
        <w:rPr>
          <w:rFonts w:ascii="Carlito" w:hAnsi="Carlito"/>
          <w:b/>
          <w:color w:val="2F75B5"/>
          <w:sz w:val="18"/>
        </w:rPr>
        <w:t>Ce qui reste à clarifier</w:t>
      </w:r>
    </w:p>
    <w:p>
      <w:pPr>
        <w:spacing w:after="100" w:line="252" w:lineRule="auto"/>
      </w:pPr>
      <w:r>
        <w:t>Niveau de contrôle attendu selon le type de contenu; responsabilités pour données financières, juridiques, RH et opérationnelles; procédure lorsque plusieurs sources se contredisent.</w:t>
      </w:r>
    </w:p>
    <w:p>
      <w:pPr>
        <w:keepNext/>
        <w:spacing w:after="40" w:line="252" w:lineRule="auto"/>
      </w:pPr>
      <w:r>
        <w:rPr>
          <w:rFonts w:ascii="Carlito" w:hAnsi="Carlito"/>
          <w:b/>
          <w:color w:val="2F75B5"/>
          <w:sz w:val="18"/>
        </w:rPr>
        <w:t>Impact si non résolu</w:t>
      </w:r>
    </w:p>
    <w:p>
      <w:pPr>
        <w:spacing w:after="100" w:line="252" w:lineRule="auto"/>
      </w:pPr>
      <w:r>
        <w:t>Sans règle explicite, une réponse plausible peut être confondue avec une donnée confirmée ou une décision officielle.</w:t>
      </w:r>
    </w:p>
    <w:p>
      <w:pPr>
        <w:keepNext/>
        <w:spacing w:after="40" w:line="252" w:lineRule="auto"/>
      </w:pPr>
      <w:r>
        <w:rPr>
          <w:rFonts w:ascii="Carlito" w:hAnsi="Carlito"/>
          <w:b/>
          <w:color w:val="2F75B5"/>
          <w:sz w:val="18"/>
        </w:rPr>
        <w:t>Fonctions concernées</w:t>
      </w:r>
    </w:p>
    <w:p>
      <w:pPr>
        <w:spacing w:after="100" w:line="252" w:lineRule="auto"/>
      </w:pPr>
      <w:r>
        <w:t>Responsable du programme + propriétaires métier + Juridique / Finance selon le contenu</w:t>
      </w:r>
    </w:p>
    <w:p>
      <w:pPr>
        <w:keepNext/>
        <w:spacing w:after="40" w:line="252" w:lineRule="auto"/>
      </w:pPr>
      <w:r>
        <w:rPr>
          <w:rFonts w:ascii="Carlito" w:hAnsi="Carlito"/>
          <w:b/>
          <w:color w:val="2F75B5"/>
          <w:sz w:val="18"/>
        </w:rPr>
        <w:t>Résultat attendu</w:t>
      </w:r>
    </w:p>
    <w:p>
      <w:pPr>
        <w:spacing w:after="100" w:line="252" w:lineRule="auto"/>
      </w:pPr>
      <w:r>
        <w:t>Définir un modèle de validation proportionnel au risque et l’intégrer aux pratiques du pilote.</w:t>
      </w:r>
    </w:p>
    <w:p>
      <w:pPr>
        <w:spacing w:after="20" w:line="252" w:lineRule="auto"/>
      </w:pPr>
    </w:p>
    <w:tbl>
      <w:tblPr>
        <w:tblW w:type="auto" w:w="0"/>
        <w:jc w:val="left"/>
        <w:tblLayout w:type="fixed"/>
        <w:tblLook w:firstColumn="1" w:firstRow="1" w:lastColumn="0" w:lastRow="0" w:noHBand="0" w:noVBand="1" w:val="04A0"/>
        <w:tblBorders>
          <w:top w:val="single" w:sz="3" w:color="D9DEE5"/>
          <w:left w:val="single" w:sz="3" w:color="D9DEE5"/>
          <w:bottom w:val="single" w:sz="3" w:color="D9DEE5"/>
          <w:right w:val="single" w:sz="3" w:color="D9DEE5"/>
          <w:insideH w:val="single" w:sz="3" w:color="D9DEE5"/>
          <w:insideV w:val="single" w:sz="3" w:color="D9DEE5"/>
        </w:tblBorders>
      </w:tblPr>
      <w:tblGrid>
        <w:gridCol w:w="5083"/>
        <w:gridCol w:w="5083"/>
      </w:tblGrid>
      <w:tr>
        <w:trPr>
          <w:cantSplit/>
        </w:trPr>
        <w:tc>
          <w:tcPr>
            <w:tcW w:type="dxa" w:w="5083"/>
            <w:vAlign w:val="center"/>
            <w:tcMar>
              <w:top w:w="90" w:type="dxa"/>
              <w:start w:w="90" w:type="dxa"/>
              <w:bottom w:w="90" w:type="dxa"/>
              <w:end w:w="90" w:type="dxa"/>
            </w:tcMar>
            <w:shd w:fill="2E8B8B"/>
          </w:tcPr>
          <w:p>
            <w:pPr>
              <w:spacing w:after="0"/>
              <w:jc w:val="center"/>
            </w:pPr>
            <w:r/>
            <w:r>
              <w:rPr>
                <w:rFonts w:ascii="Carlito" w:hAnsi="Carlito"/>
                <w:b/>
                <w:color w:val="FFFFFF"/>
                <w:sz w:val="20"/>
              </w:rPr>
              <w:t>Q-07</w:t>
            </w:r>
          </w:p>
        </w:tc>
        <w:tc>
          <w:tcPr>
            <w:tcW w:type="dxa" w:w="5083"/>
            <w:vAlign w:val="center"/>
            <w:tcMar>
              <w:top w:w="90" w:type="dxa"/>
              <w:start w:w="90" w:type="dxa"/>
              <w:bottom w:w="90" w:type="dxa"/>
              <w:end w:w="90" w:type="dxa"/>
            </w:tcMar>
            <w:shd w:fill="EAF6F6"/>
          </w:tcPr>
          <w:p>
            <w:pPr>
              <w:spacing w:after="0"/>
            </w:pPr>
            <w:r/>
            <w:r>
              <w:rPr>
                <w:rFonts w:ascii="Carlito" w:hAnsi="Carlito"/>
                <w:b/>
                <w:color w:val="17365D"/>
                <w:sz w:val="21"/>
              </w:rPr>
              <w:t>Qui sera responsable du bloc-notes Copilot collectif dans le temps?</w:t>
            </w:r>
          </w:p>
        </w:tc>
      </w:tr>
    </w:tbl>
    <w:tbl>
      <w:tblPr>
        <w:tblW w:type="auto" w:w="0"/>
        <w:jc w:val="left"/>
        <w:tblLayout w:type="fixed"/>
        <w:tblLook w:firstColumn="1" w:firstRow="1" w:lastColumn="0" w:lastRow="0" w:noHBand="0" w:noVBand="1" w:val="04A0"/>
        <w:tblBorders>
          <w:top w:val="single" w:sz="2" w:color="D9DEE5"/>
          <w:left w:val="single" w:sz="2" w:color="D9DEE5"/>
          <w:bottom w:val="single" w:sz="2" w:color="D9DEE5"/>
          <w:right w:val="single" w:sz="2" w:color="D9DEE5"/>
          <w:insideH w:val="single" w:sz="2" w:color="D9DEE5"/>
          <w:insideV w:val="single" w:sz="2" w:color="D9DEE5"/>
        </w:tblBorders>
      </w:tblPr>
      <w:tblGrid>
        <w:gridCol w:w="5083"/>
        <w:gridCol w:w="5083"/>
      </w:tblGrid>
      <w:tr>
        <w:tc>
          <w:tcPr>
            <w:tcW w:type="dxa" w:w="5083"/>
            <w:vAlign w:val="center"/>
            <w:tcMar>
              <w:top w:w="90" w:type="dxa"/>
              <w:start w:w="90" w:type="dxa"/>
              <w:bottom w:w="90" w:type="dxa"/>
              <w:end w:w="90" w:type="dxa"/>
            </w:tcMar>
          </w:tcPr>
          <w:p>
            <w:pPr>
              <w:spacing w:after="0"/>
            </w:pPr>
            <w:r/>
            <w:r>
              <w:rPr>
                <w:rFonts w:ascii="Carlito" w:hAnsi="Carlito"/>
                <w:b/>
                <w:color w:val="2F75B5"/>
                <w:sz w:val="16"/>
              </w:rPr>
              <w:t>STATUT</w:t>
            </w:r>
          </w:p>
        </w:tc>
        <w:tc>
          <w:tcPr>
            <w:tcW w:type="dxa" w:w="5083"/>
            <w:vAlign w:val="center"/>
            <w:tcMar>
              <w:top w:w="90" w:type="dxa"/>
              <w:start w:w="90" w:type="dxa"/>
              <w:bottom w:w="90" w:type="dxa"/>
              <w:end w:w="90" w:type="dxa"/>
            </w:tcMar>
            <w:shd w:fill="FFF4CE"/>
          </w:tcPr>
          <w:p>
            <w:pPr>
              <w:spacing w:after="0"/>
            </w:pPr>
            <w:r/>
            <w:r>
              <w:rPr>
                <w:rFonts w:ascii="Carlito" w:hAnsi="Carlito"/>
                <w:b/>
                <w:color w:val="40464D"/>
                <w:sz w:val="17"/>
              </w:rPr>
              <w:t>OUVERT</w:t>
            </w:r>
          </w:p>
        </w:tc>
      </w:tr>
    </w:tbl>
    <w:p>
      <w:pPr>
        <w:keepNext/>
        <w:spacing w:after="40" w:line="252" w:lineRule="auto"/>
      </w:pPr>
      <w:r>
        <w:rPr>
          <w:rFonts w:ascii="Carlito" w:hAnsi="Carlito"/>
          <w:b/>
          <w:color w:val="2F75B5"/>
          <w:sz w:val="18"/>
        </w:rPr>
        <w:t>Contexte</w:t>
      </w:r>
    </w:p>
    <w:p>
      <w:pPr>
        <w:spacing w:after="100" w:line="252" w:lineRule="auto"/>
      </w:pPr>
      <w:r>
        <w:t>Le bloc-notes collectif doit soutenir le comité de lancement en fournissant un contexte commun, mais son usage collectif ne règle pas automatiquement sa responsabilité fonctionnelle.</w:t>
      </w:r>
    </w:p>
    <w:p>
      <w:pPr>
        <w:keepNext/>
        <w:spacing w:after="40" w:line="252" w:lineRule="auto"/>
      </w:pPr>
      <w:r>
        <w:rPr>
          <w:rFonts w:ascii="Carlito" w:hAnsi="Carlito"/>
          <w:b/>
          <w:color w:val="2F75B5"/>
          <w:sz w:val="18"/>
        </w:rPr>
        <w:t>Ce qui est établi</w:t>
      </w:r>
    </w:p>
    <w:p>
      <w:pPr>
        <w:spacing w:after="100" w:line="252" w:lineRule="auto"/>
      </w:pPr>
      <w:r>
        <w:t>Le contexte doit rester pertinent, correctement partagé et maintenu pendant toute sa durée de vie.</w:t>
      </w:r>
    </w:p>
    <w:p>
      <w:pPr>
        <w:keepNext/>
        <w:spacing w:after="40" w:line="252" w:lineRule="auto"/>
      </w:pPr>
      <w:r>
        <w:rPr>
          <w:rFonts w:ascii="Carlito" w:hAnsi="Carlito"/>
          <w:b/>
          <w:color w:val="2F75B5"/>
          <w:sz w:val="18"/>
        </w:rPr>
        <w:t>Ce qui reste à clarifier</w:t>
      </w:r>
    </w:p>
    <w:p>
      <w:pPr>
        <w:spacing w:after="100" w:line="252" w:lineRule="auto"/>
      </w:pPr>
      <w:r>
        <w:t>Responsable fonctionnel à long terme; règle de transfert lors d’un changement de rôle; fréquence de revue des références; fin de vie et conservation des livrables officiels.</w:t>
      </w:r>
    </w:p>
    <w:p>
      <w:pPr>
        <w:keepNext/>
        <w:spacing w:after="40" w:line="252" w:lineRule="auto"/>
      </w:pPr>
      <w:r>
        <w:rPr>
          <w:rFonts w:ascii="Carlito" w:hAnsi="Carlito"/>
          <w:b/>
          <w:color w:val="2F75B5"/>
          <w:sz w:val="18"/>
        </w:rPr>
        <w:t>Impact si non résolu</w:t>
      </w:r>
    </w:p>
    <w:p>
      <w:pPr>
        <w:spacing w:after="100" w:line="252" w:lineRule="auto"/>
      </w:pPr>
      <w:r>
        <w:t>Un espace utilisé collectivement sans responsabilité explicite peut devenir obsolète, perdre son contexte ou dépendre excessivement de son créateur.</w:t>
      </w:r>
    </w:p>
    <w:p>
      <w:pPr>
        <w:keepNext/>
        <w:spacing w:after="40" w:line="252" w:lineRule="auto"/>
      </w:pPr>
      <w:r>
        <w:rPr>
          <w:rFonts w:ascii="Carlito" w:hAnsi="Carlito"/>
          <w:b/>
          <w:color w:val="2F75B5"/>
          <w:sz w:val="18"/>
        </w:rPr>
        <w:t>Fonctions concernées</w:t>
      </w:r>
    </w:p>
    <w:p>
      <w:pPr>
        <w:spacing w:after="100" w:line="252" w:lineRule="auto"/>
      </w:pPr>
      <w:r>
        <w:t>Responsable du programme + gouvernance Microsoft 365</w:t>
      </w:r>
    </w:p>
    <w:p>
      <w:pPr>
        <w:keepNext/>
        <w:spacing w:after="40" w:line="252" w:lineRule="auto"/>
      </w:pPr>
      <w:r>
        <w:rPr>
          <w:rFonts w:ascii="Carlito" w:hAnsi="Carlito"/>
          <w:b/>
          <w:color w:val="2F75B5"/>
          <w:sz w:val="18"/>
        </w:rPr>
        <w:t>Résultat attendu</w:t>
      </w:r>
    </w:p>
    <w:p>
      <w:pPr>
        <w:spacing w:after="100" w:line="252" w:lineRule="auto"/>
      </w:pPr>
      <w:r>
        <w:t>Désigner le responsable fonctionnel et définir les événements déclenchant une revue ou un transfert.</w:t>
      </w:r>
    </w:p>
    <w:p>
      <w:pPr>
        <w:spacing w:after="20" w:line="252" w:lineRule="auto"/>
      </w:pPr>
    </w:p>
    <w:tbl>
      <w:tblPr>
        <w:tblW w:type="auto" w:w="0"/>
        <w:jc w:val="left"/>
        <w:tblLayout w:type="fixed"/>
        <w:tblLook w:firstColumn="1" w:firstRow="1" w:lastColumn="0" w:lastRow="0" w:noHBand="0" w:noVBand="1" w:val="04A0"/>
        <w:tblBorders>
          <w:top w:val="single" w:sz="3" w:color="D9DEE5"/>
          <w:left w:val="single" w:sz="3" w:color="D9DEE5"/>
          <w:bottom w:val="single" w:sz="3" w:color="D9DEE5"/>
          <w:right w:val="single" w:sz="3" w:color="D9DEE5"/>
          <w:insideH w:val="single" w:sz="3" w:color="D9DEE5"/>
          <w:insideV w:val="single" w:sz="3" w:color="D9DEE5"/>
        </w:tblBorders>
      </w:tblPr>
      <w:tblGrid>
        <w:gridCol w:w="5083"/>
        <w:gridCol w:w="5083"/>
      </w:tblGrid>
      <w:tr>
        <w:trPr>
          <w:cantSplit/>
        </w:trPr>
        <w:tc>
          <w:tcPr>
            <w:tcW w:type="dxa" w:w="5083"/>
            <w:vAlign w:val="center"/>
            <w:tcMar>
              <w:top w:w="90" w:type="dxa"/>
              <w:start w:w="90" w:type="dxa"/>
              <w:bottom w:w="90" w:type="dxa"/>
              <w:end w:w="90" w:type="dxa"/>
            </w:tcMar>
            <w:shd w:fill="2E8B8B"/>
          </w:tcPr>
          <w:p>
            <w:pPr>
              <w:spacing w:after="0"/>
              <w:jc w:val="center"/>
            </w:pPr>
            <w:r/>
            <w:r>
              <w:rPr>
                <w:rFonts w:ascii="Carlito" w:hAnsi="Carlito"/>
                <w:b/>
                <w:color w:val="FFFFFF"/>
                <w:sz w:val="20"/>
              </w:rPr>
              <w:t>Q-08</w:t>
            </w:r>
          </w:p>
        </w:tc>
        <w:tc>
          <w:tcPr>
            <w:tcW w:type="dxa" w:w="5083"/>
            <w:vAlign w:val="center"/>
            <w:tcMar>
              <w:top w:w="90" w:type="dxa"/>
              <w:start w:w="90" w:type="dxa"/>
              <w:bottom w:w="90" w:type="dxa"/>
              <w:end w:w="90" w:type="dxa"/>
            </w:tcMar>
            <w:shd w:fill="EAF6F6"/>
          </w:tcPr>
          <w:p>
            <w:pPr>
              <w:spacing w:after="0"/>
            </w:pPr>
            <w:r/>
            <w:r>
              <w:rPr>
                <w:rFonts w:ascii="Carlito" w:hAnsi="Carlito"/>
                <w:b/>
                <w:color w:val="17365D"/>
                <w:sz w:val="21"/>
              </w:rPr>
              <w:t>Quelle cible d’ambassadeurs est nécessaire pour soutenir l’adoption?</w:t>
            </w:r>
          </w:p>
        </w:tc>
      </w:tr>
    </w:tbl>
    <w:tbl>
      <w:tblPr>
        <w:tblW w:type="auto" w:w="0"/>
        <w:jc w:val="left"/>
        <w:tblLayout w:type="fixed"/>
        <w:tblLook w:firstColumn="1" w:firstRow="1" w:lastColumn="0" w:lastRow="0" w:noHBand="0" w:noVBand="1" w:val="04A0"/>
        <w:tblBorders>
          <w:top w:val="single" w:sz="2" w:color="D9DEE5"/>
          <w:left w:val="single" w:sz="2" w:color="D9DEE5"/>
          <w:bottom w:val="single" w:sz="2" w:color="D9DEE5"/>
          <w:right w:val="single" w:sz="2" w:color="D9DEE5"/>
          <w:insideH w:val="single" w:sz="2" w:color="D9DEE5"/>
          <w:insideV w:val="single" w:sz="2" w:color="D9DEE5"/>
        </w:tblBorders>
      </w:tblPr>
      <w:tblGrid>
        <w:gridCol w:w="5083"/>
        <w:gridCol w:w="5083"/>
      </w:tblGrid>
      <w:tr>
        <w:tc>
          <w:tcPr>
            <w:tcW w:type="dxa" w:w="5083"/>
            <w:vAlign w:val="center"/>
            <w:tcMar>
              <w:top w:w="90" w:type="dxa"/>
              <w:start w:w="90" w:type="dxa"/>
              <w:bottom w:w="90" w:type="dxa"/>
              <w:end w:w="90" w:type="dxa"/>
            </w:tcMar>
          </w:tcPr>
          <w:p>
            <w:pPr>
              <w:spacing w:after="0"/>
            </w:pPr>
            <w:r/>
            <w:r>
              <w:rPr>
                <w:rFonts w:ascii="Carlito" w:hAnsi="Carlito"/>
                <w:b/>
                <w:color w:val="2F75B5"/>
                <w:sz w:val="16"/>
              </w:rPr>
              <w:t>STATUT</w:t>
            </w:r>
          </w:p>
        </w:tc>
        <w:tc>
          <w:tcPr>
            <w:tcW w:type="dxa" w:w="5083"/>
            <w:vAlign w:val="center"/>
            <w:tcMar>
              <w:top w:w="90" w:type="dxa"/>
              <w:start w:w="90" w:type="dxa"/>
              <w:bottom w:w="90" w:type="dxa"/>
              <w:end w:w="90" w:type="dxa"/>
            </w:tcMar>
            <w:shd w:fill="FFF4CE"/>
          </w:tcPr>
          <w:p>
            <w:pPr>
              <w:spacing w:after="0"/>
            </w:pPr>
            <w:r/>
            <w:r>
              <w:rPr>
                <w:rFonts w:ascii="Carlito" w:hAnsi="Carlito"/>
                <w:b/>
                <w:color w:val="40464D"/>
                <w:sz w:val="17"/>
              </w:rPr>
              <w:t>À PRÉCISER</w:t>
            </w:r>
          </w:p>
        </w:tc>
      </w:tr>
    </w:tbl>
    <w:p>
      <w:pPr>
        <w:keepNext/>
        <w:spacing w:after="40" w:line="252" w:lineRule="auto"/>
      </w:pPr>
      <w:r>
        <w:rPr>
          <w:rFonts w:ascii="Carlito" w:hAnsi="Carlito"/>
          <w:b/>
          <w:color w:val="2F75B5"/>
          <w:sz w:val="18"/>
        </w:rPr>
        <w:t>Contexte</w:t>
      </w:r>
    </w:p>
    <w:p>
      <w:pPr>
        <w:spacing w:after="100" w:line="252" w:lineRule="auto"/>
      </w:pPr>
      <w:r>
        <w:t>Le réseau d’ambassadeurs fait partie du dispositif d’adoption envisagé, mais le nombre, les rôles et la disponibilité restent à confirmer.</w:t>
      </w:r>
    </w:p>
    <w:p>
      <w:pPr>
        <w:keepNext/>
        <w:spacing w:after="40" w:line="252" w:lineRule="auto"/>
      </w:pPr>
      <w:r>
        <w:rPr>
          <w:rFonts w:ascii="Carlito" w:hAnsi="Carlito"/>
          <w:b/>
          <w:color w:val="2F75B5"/>
          <w:sz w:val="18"/>
        </w:rPr>
        <w:t>Ce qui est établi</w:t>
      </w:r>
    </w:p>
    <w:p>
      <w:pPr>
        <w:spacing w:after="100" w:line="252" w:lineRule="auto"/>
      </w:pPr>
      <w:r>
        <w:t>Les ambassadeurs doivent soutenir les utilisateurs, relayer les pratiques et contribuer aux apprentissages du pilote.</w:t>
      </w:r>
    </w:p>
    <w:p>
      <w:pPr>
        <w:keepNext/>
        <w:spacing w:after="40" w:line="252" w:lineRule="auto"/>
      </w:pPr>
      <w:r>
        <w:rPr>
          <w:rFonts w:ascii="Carlito" w:hAnsi="Carlito"/>
          <w:b/>
          <w:color w:val="2F75B5"/>
          <w:sz w:val="18"/>
        </w:rPr>
        <w:t>Ce qui reste à clarifier</w:t>
      </w:r>
    </w:p>
    <w:p>
      <w:pPr>
        <w:spacing w:after="100" w:line="252" w:lineRule="auto"/>
      </w:pPr>
      <w:r>
        <w:t>Cible finale; personnes confirmées; répartition par fonction; temps consacré; modalités d’accompagnement.</w:t>
      </w:r>
    </w:p>
    <w:p>
      <w:pPr>
        <w:keepNext/>
        <w:spacing w:after="40" w:line="252" w:lineRule="auto"/>
      </w:pPr>
      <w:r>
        <w:rPr>
          <w:rFonts w:ascii="Carlito" w:hAnsi="Carlito"/>
          <w:b/>
          <w:color w:val="2F75B5"/>
          <w:sz w:val="18"/>
        </w:rPr>
        <w:t>Impact si non résolu</w:t>
      </w:r>
    </w:p>
    <w:p>
      <w:pPr>
        <w:spacing w:after="100" w:line="252" w:lineRule="auto"/>
      </w:pPr>
      <w:r>
        <w:t>Un réseau insuffisant peut augmenter la charge sur les équipes de formation et de soutien et réduire la capacité d’atteindre la cible de 70 % d’utilisation active.</w:t>
      </w:r>
    </w:p>
    <w:p>
      <w:pPr>
        <w:keepNext/>
        <w:spacing w:after="40" w:line="252" w:lineRule="auto"/>
      </w:pPr>
      <w:r>
        <w:rPr>
          <w:rFonts w:ascii="Carlito" w:hAnsi="Carlito"/>
          <w:b/>
          <w:color w:val="2F75B5"/>
          <w:sz w:val="18"/>
        </w:rPr>
        <w:t>Fonctions concernées</w:t>
      </w:r>
    </w:p>
    <w:p>
      <w:pPr>
        <w:spacing w:after="100" w:line="252" w:lineRule="auto"/>
      </w:pPr>
      <w:r>
        <w:t>Responsable du programme + RH + Formation</w:t>
      </w:r>
    </w:p>
    <w:p>
      <w:pPr>
        <w:keepNext/>
        <w:spacing w:after="40" w:line="252" w:lineRule="auto"/>
      </w:pPr>
      <w:r>
        <w:rPr>
          <w:rFonts w:ascii="Carlito" w:hAnsi="Carlito"/>
          <w:b/>
          <w:color w:val="2F75B5"/>
          <w:sz w:val="18"/>
        </w:rPr>
        <w:t>Résultat attendu</w:t>
      </w:r>
    </w:p>
    <w:p>
      <w:pPr>
        <w:spacing w:after="100" w:line="252" w:lineRule="auto"/>
      </w:pPr>
      <w:r>
        <w:t>Confirmer la cible, la liste des ambassadeurs et leur capacité réelle avant le lancement.</w:t>
      </w:r>
    </w:p>
    <w:p>
      <w:pPr>
        <w:spacing w:after="20" w:line="252" w:lineRule="auto"/>
      </w:pPr>
    </w:p>
    <w:tbl>
      <w:tblPr>
        <w:tblW w:type="auto" w:w="0"/>
        <w:jc w:val="left"/>
        <w:tblLayout w:type="fixed"/>
        <w:tblLook w:firstColumn="1" w:firstRow="1" w:lastColumn="0" w:lastRow="0" w:noHBand="0" w:noVBand="1" w:val="04A0"/>
        <w:tblBorders>
          <w:top w:val="single" w:sz="3" w:color="D9DEE5"/>
          <w:left w:val="single" w:sz="3" w:color="D9DEE5"/>
          <w:bottom w:val="single" w:sz="3" w:color="D9DEE5"/>
          <w:right w:val="single" w:sz="3" w:color="D9DEE5"/>
          <w:insideH w:val="single" w:sz="3" w:color="D9DEE5"/>
          <w:insideV w:val="single" w:sz="3" w:color="D9DEE5"/>
        </w:tblBorders>
      </w:tblPr>
      <w:tblGrid>
        <w:gridCol w:w="5083"/>
        <w:gridCol w:w="5083"/>
      </w:tblGrid>
      <w:tr>
        <w:trPr>
          <w:cantSplit/>
        </w:trPr>
        <w:tc>
          <w:tcPr>
            <w:tcW w:type="dxa" w:w="5083"/>
            <w:vAlign w:val="center"/>
            <w:tcMar>
              <w:top w:w="90" w:type="dxa"/>
              <w:start w:w="90" w:type="dxa"/>
              <w:bottom w:w="90" w:type="dxa"/>
              <w:end w:w="90" w:type="dxa"/>
            </w:tcMar>
            <w:shd w:fill="2E8B8B"/>
          </w:tcPr>
          <w:p>
            <w:pPr>
              <w:spacing w:after="0"/>
              <w:jc w:val="center"/>
            </w:pPr>
            <w:r/>
            <w:r>
              <w:rPr>
                <w:rFonts w:ascii="Carlito" w:hAnsi="Carlito"/>
                <w:b/>
                <w:color w:val="FFFFFF"/>
                <w:sz w:val="20"/>
              </w:rPr>
              <w:t>Q-09</w:t>
            </w:r>
          </w:p>
        </w:tc>
        <w:tc>
          <w:tcPr>
            <w:tcW w:type="dxa" w:w="5083"/>
            <w:vAlign w:val="center"/>
            <w:tcMar>
              <w:top w:w="90" w:type="dxa"/>
              <w:start w:w="90" w:type="dxa"/>
              <w:bottom w:w="90" w:type="dxa"/>
              <w:end w:w="90" w:type="dxa"/>
            </w:tcMar>
            <w:shd w:fill="EAF6F6"/>
          </w:tcPr>
          <w:p>
            <w:pPr>
              <w:spacing w:after="0"/>
            </w:pPr>
            <w:r/>
            <w:r>
              <w:rPr>
                <w:rFonts w:ascii="Carlito" w:hAnsi="Carlito"/>
                <w:b/>
                <w:color w:val="17365D"/>
                <w:sz w:val="21"/>
              </w:rPr>
              <w:t>La capacité de formation est-elle compatible avec le calendrier?</w:t>
            </w:r>
          </w:p>
        </w:tc>
      </w:tr>
    </w:tbl>
    <w:tbl>
      <w:tblPr>
        <w:tblW w:type="auto" w:w="0"/>
        <w:jc w:val="left"/>
        <w:tblLayout w:type="fixed"/>
        <w:tblLook w:firstColumn="1" w:firstRow="1" w:lastColumn="0" w:lastRow="0" w:noHBand="0" w:noVBand="1" w:val="04A0"/>
        <w:tblBorders>
          <w:top w:val="single" w:sz="2" w:color="D9DEE5"/>
          <w:left w:val="single" w:sz="2" w:color="D9DEE5"/>
          <w:bottom w:val="single" w:sz="2" w:color="D9DEE5"/>
          <w:right w:val="single" w:sz="2" w:color="D9DEE5"/>
          <w:insideH w:val="single" w:sz="2" w:color="D9DEE5"/>
          <w:insideV w:val="single" w:sz="2" w:color="D9DEE5"/>
        </w:tblBorders>
      </w:tblPr>
      <w:tblGrid>
        <w:gridCol w:w="5083"/>
        <w:gridCol w:w="5083"/>
      </w:tblGrid>
      <w:tr>
        <w:tc>
          <w:tcPr>
            <w:tcW w:type="dxa" w:w="5083"/>
            <w:vAlign w:val="center"/>
            <w:tcMar>
              <w:top w:w="90" w:type="dxa"/>
              <w:start w:w="90" w:type="dxa"/>
              <w:bottom w:w="90" w:type="dxa"/>
              <w:end w:w="90" w:type="dxa"/>
            </w:tcMar>
          </w:tcPr>
          <w:p>
            <w:pPr>
              <w:spacing w:after="0"/>
            </w:pPr>
            <w:r/>
            <w:r>
              <w:rPr>
                <w:rFonts w:ascii="Carlito" w:hAnsi="Carlito"/>
                <w:b/>
                <w:color w:val="2F75B5"/>
                <w:sz w:val="16"/>
              </w:rPr>
              <w:t>STATUT</w:t>
            </w:r>
          </w:p>
        </w:tc>
        <w:tc>
          <w:tcPr>
            <w:tcW w:type="dxa" w:w="5083"/>
            <w:vAlign w:val="center"/>
            <w:tcMar>
              <w:top w:w="90" w:type="dxa"/>
              <w:start w:w="90" w:type="dxa"/>
              <w:bottom w:w="90" w:type="dxa"/>
              <w:end w:w="90" w:type="dxa"/>
            </w:tcMar>
            <w:shd w:fill="FFF4CE"/>
          </w:tcPr>
          <w:p>
            <w:pPr>
              <w:spacing w:after="0"/>
            </w:pPr>
            <w:r/>
            <w:r>
              <w:rPr>
                <w:rFonts w:ascii="Carlito" w:hAnsi="Carlito"/>
                <w:b/>
                <w:color w:val="40464D"/>
                <w:sz w:val="17"/>
              </w:rPr>
              <w:t>À VALIDER</w:t>
            </w:r>
          </w:p>
        </w:tc>
      </w:tr>
    </w:tbl>
    <w:p>
      <w:pPr>
        <w:keepNext/>
        <w:spacing w:after="40" w:line="252" w:lineRule="auto"/>
      </w:pPr>
      <w:r>
        <w:rPr>
          <w:rFonts w:ascii="Carlito" w:hAnsi="Carlito"/>
          <w:b/>
          <w:color w:val="2F75B5"/>
          <w:sz w:val="18"/>
        </w:rPr>
        <w:t>Contexte</w:t>
      </w:r>
    </w:p>
    <w:p>
      <w:pPr>
        <w:spacing w:after="100" w:line="252" w:lineRule="auto"/>
      </w:pPr>
      <w:r>
        <w:t>La formation constitue un poste majeur de l’enveloppe initiale et un levier clé pour l’adoption.</w:t>
      </w:r>
    </w:p>
    <w:p>
      <w:pPr>
        <w:keepNext/>
        <w:spacing w:after="40" w:line="252" w:lineRule="auto"/>
      </w:pPr>
      <w:r>
        <w:rPr>
          <w:rFonts w:ascii="Carlito" w:hAnsi="Carlito"/>
          <w:b/>
          <w:color w:val="2F75B5"/>
          <w:sz w:val="18"/>
        </w:rPr>
        <w:t>Ce qui est établi</w:t>
      </w:r>
    </w:p>
    <w:p>
      <w:pPr>
        <w:spacing w:after="100" w:line="252" w:lineRule="auto"/>
      </w:pPr>
      <w:r>
        <w:t>Le programme prévoit un accompagnement structuré des utilisateurs et des ambassadeurs.</w:t>
      </w:r>
    </w:p>
    <w:p>
      <w:pPr>
        <w:keepNext/>
        <w:spacing w:after="40" w:line="252" w:lineRule="auto"/>
      </w:pPr>
      <w:r>
        <w:rPr>
          <w:rFonts w:ascii="Carlito" w:hAnsi="Carlito"/>
          <w:b/>
          <w:color w:val="2F75B5"/>
          <w:sz w:val="18"/>
        </w:rPr>
        <w:t>Ce qui reste à clarifier</w:t>
      </w:r>
    </w:p>
    <w:p>
      <w:pPr>
        <w:spacing w:after="100" w:line="252" w:lineRule="auto"/>
      </w:pPr>
      <w:r>
        <w:t>Nombre de formateurs disponibles; capacité par cohorte; calendrier détaillé; couverture avant et après le 15 octobre; soutien post-formation.</w:t>
      </w:r>
    </w:p>
    <w:p>
      <w:pPr>
        <w:keepNext/>
        <w:spacing w:after="40" w:line="252" w:lineRule="auto"/>
      </w:pPr>
      <w:r>
        <w:rPr>
          <w:rFonts w:ascii="Carlito" w:hAnsi="Carlito"/>
          <w:b/>
          <w:color w:val="2F75B5"/>
          <w:sz w:val="18"/>
        </w:rPr>
        <w:t>Impact si non résolu</w:t>
      </w:r>
    </w:p>
    <w:p>
      <w:pPr>
        <w:spacing w:after="100" w:line="252" w:lineRule="auto"/>
      </w:pPr>
      <w:r>
        <w:t>Un décalage entre la taille du pilote, le déploiement et la capacité de formation pourrait compromettre l’expérience utilisateur et la mesure d’adoption.</w:t>
      </w:r>
    </w:p>
    <w:p>
      <w:pPr>
        <w:keepNext/>
        <w:spacing w:after="40" w:line="252" w:lineRule="auto"/>
      </w:pPr>
      <w:r>
        <w:rPr>
          <w:rFonts w:ascii="Carlito" w:hAnsi="Carlito"/>
          <w:b/>
          <w:color w:val="2F75B5"/>
          <w:sz w:val="18"/>
        </w:rPr>
        <w:t>Fonctions concernées</w:t>
      </w:r>
    </w:p>
    <w:p>
      <w:pPr>
        <w:spacing w:after="100" w:line="252" w:lineRule="auto"/>
      </w:pPr>
      <w:r>
        <w:t>Formation + Responsable du programme</w:t>
      </w:r>
    </w:p>
    <w:p>
      <w:pPr>
        <w:keepNext/>
        <w:spacing w:after="40" w:line="252" w:lineRule="auto"/>
      </w:pPr>
      <w:r>
        <w:rPr>
          <w:rFonts w:ascii="Carlito" w:hAnsi="Carlito"/>
          <w:b/>
          <w:color w:val="2F75B5"/>
          <w:sz w:val="18"/>
        </w:rPr>
        <w:t>Résultat attendu</w:t>
      </w:r>
    </w:p>
    <w:p>
      <w:pPr>
        <w:spacing w:after="100" w:line="252" w:lineRule="auto"/>
      </w:pPr>
      <w:r>
        <w:t>Valider le plan de capacité et ses dépendances avec le scénario de lancement.</w:t>
      </w:r>
    </w:p>
    <w:p>
      <w:pPr>
        <w:spacing w:after="20" w:line="252" w:lineRule="auto"/>
      </w:pPr>
    </w:p>
    <w:tbl>
      <w:tblPr>
        <w:tblW w:type="auto" w:w="0"/>
        <w:jc w:val="left"/>
        <w:tblLayout w:type="fixed"/>
        <w:tblLook w:firstColumn="1" w:firstRow="1" w:lastColumn="0" w:lastRow="0" w:noHBand="0" w:noVBand="1" w:val="04A0"/>
        <w:tblBorders>
          <w:top w:val="single" w:sz="3" w:color="D9DEE5"/>
          <w:left w:val="single" w:sz="3" w:color="D9DEE5"/>
          <w:bottom w:val="single" w:sz="3" w:color="D9DEE5"/>
          <w:right w:val="single" w:sz="3" w:color="D9DEE5"/>
          <w:insideH w:val="single" w:sz="3" w:color="D9DEE5"/>
          <w:insideV w:val="single" w:sz="3" w:color="D9DEE5"/>
        </w:tblBorders>
      </w:tblPr>
      <w:tblGrid>
        <w:gridCol w:w="5083"/>
        <w:gridCol w:w="5083"/>
      </w:tblGrid>
      <w:tr>
        <w:trPr>
          <w:cantSplit/>
        </w:trPr>
        <w:tc>
          <w:tcPr>
            <w:tcW w:type="dxa" w:w="5083"/>
            <w:vAlign w:val="center"/>
            <w:tcMar>
              <w:top w:w="90" w:type="dxa"/>
              <w:start w:w="90" w:type="dxa"/>
              <w:bottom w:w="90" w:type="dxa"/>
              <w:end w:w="90" w:type="dxa"/>
            </w:tcMar>
            <w:shd w:fill="2E8B8B"/>
          </w:tcPr>
          <w:p>
            <w:pPr>
              <w:spacing w:after="0"/>
              <w:jc w:val="center"/>
            </w:pPr>
            <w:r/>
            <w:r>
              <w:rPr>
                <w:rFonts w:ascii="Carlito" w:hAnsi="Carlito"/>
                <w:b/>
                <w:color w:val="FFFFFF"/>
                <w:sz w:val="20"/>
              </w:rPr>
              <w:t>Q-10</w:t>
            </w:r>
          </w:p>
        </w:tc>
        <w:tc>
          <w:tcPr>
            <w:tcW w:type="dxa" w:w="5083"/>
            <w:vAlign w:val="center"/>
            <w:tcMar>
              <w:top w:w="90" w:type="dxa"/>
              <w:start w:w="90" w:type="dxa"/>
              <w:bottom w:w="90" w:type="dxa"/>
              <w:end w:w="90" w:type="dxa"/>
            </w:tcMar>
            <w:shd w:fill="EAF6F6"/>
          </w:tcPr>
          <w:p>
            <w:pPr>
              <w:spacing w:after="0"/>
            </w:pPr>
            <w:r/>
            <w:r>
              <w:rPr>
                <w:rFonts w:ascii="Carlito" w:hAnsi="Carlito"/>
                <w:b/>
                <w:color w:val="17365D"/>
                <w:sz w:val="21"/>
              </w:rPr>
              <w:t>Quels sont les prérequis minimaux pour maintenir la cible du 15 octobre?</w:t>
            </w:r>
          </w:p>
        </w:tc>
      </w:tr>
    </w:tbl>
    <w:tbl>
      <w:tblPr>
        <w:tblW w:type="auto" w:w="0"/>
        <w:jc w:val="left"/>
        <w:tblLayout w:type="fixed"/>
        <w:tblLook w:firstColumn="1" w:firstRow="1" w:lastColumn="0" w:lastRow="0" w:noHBand="0" w:noVBand="1" w:val="04A0"/>
        <w:tblBorders>
          <w:top w:val="single" w:sz="2" w:color="D9DEE5"/>
          <w:left w:val="single" w:sz="2" w:color="D9DEE5"/>
          <w:bottom w:val="single" w:sz="2" w:color="D9DEE5"/>
          <w:right w:val="single" w:sz="2" w:color="D9DEE5"/>
          <w:insideH w:val="single" w:sz="2" w:color="D9DEE5"/>
          <w:insideV w:val="single" w:sz="2" w:color="D9DEE5"/>
        </w:tblBorders>
      </w:tblPr>
      <w:tblGrid>
        <w:gridCol w:w="5083"/>
        <w:gridCol w:w="5083"/>
      </w:tblGrid>
      <w:tr>
        <w:tc>
          <w:tcPr>
            <w:tcW w:type="dxa" w:w="5083"/>
            <w:vAlign w:val="center"/>
            <w:tcMar>
              <w:top w:w="90" w:type="dxa"/>
              <w:start w:w="90" w:type="dxa"/>
              <w:bottom w:w="90" w:type="dxa"/>
              <w:end w:w="90" w:type="dxa"/>
            </w:tcMar>
          </w:tcPr>
          <w:p>
            <w:pPr>
              <w:spacing w:after="0"/>
            </w:pPr>
            <w:r/>
            <w:r>
              <w:rPr>
                <w:rFonts w:ascii="Carlito" w:hAnsi="Carlito"/>
                <w:b/>
                <w:color w:val="2F75B5"/>
                <w:sz w:val="16"/>
              </w:rPr>
              <w:t>STATUT</w:t>
            </w:r>
          </w:p>
        </w:tc>
        <w:tc>
          <w:tcPr>
            <w:tcW w:type="dxa" w:w="5083"/>
            <w:vAlign w:val="center"/>
            <w:tcMar>
              <w:top w:w="90" w:type="dxa"/>
              <w:start w:w="90" w:type="dxa"/>
              <w:bottom w:w="90" w:type="dxa"/>
              <w:end w:w="90" w:type="dxa"/>
            </w:tcMar>
            <w:shd w:fill="FDE9E7"/>
          </w:tcPr>
          <w:p>
            <w:pPr>
              <w:spacing w:after="0"/>
            </w:pPr>
            <w:r/>
            <w:r>
              <w:rPr>
                <w:rFonts w:ascii="Carlito" w:hAnsi="Carlito"/>
                <w:b/>
                <w:color w:val="40464D"/>
                <w:sz w:val="17"/>
              </w:rPr>
              <w:t>OUVERT</w:t>
            </w:r>
          </w:p>
        </w:tc>
      </w:tr>
    </w:tbl>
    <w:p>
      <w:pPr>
        <w:keepNext/>
        <w:spacing w:after="40" w:line="252" w:lineRule="auto"/>
      </w:pPr>
      <w:r>
        <w:rPr>
          <w:rFonts w:ascii="Carlito" w:hAnsi="Carlito"/>
          <w:b/>
          <w:color w:val="2F75B5"/>
          <w:sz w:val="18"/>
        </w:rPr>
        <w:t>Contexte</w:t>
      </w:r>
    </w:p>
    <w:p>
      <w:pPr>
        <w:spacing w:after="100" w:line="252" w:lineRule="auto"/>
      </w:pPr>
      <w:r>
        <w:t>Le 15 octobre demeure la date cible de lancement organisationnel définie dans la charte.</w:t>
      </w:r>
    </w:p>
    <w:p>
      <w:pPr>
        <w:keepNext/>
        <w:spacing w:after="40" w:line="252" w:lineRule="auto"/>
      </w:pPr>
      <w:r>
        <w:rPr>
          <w:rFonts w:ascii="Carlito" w:hAnsi="Carlito"/>
          <w:b/>
          <w:color w:val="2F75B5"/>
          <w:sz w:val="18"/>
        </w:rPr>
        <w:t>Ce qui est établi</w:t>
      </w:r>
    </w:p>
    <w:p>
      <w:pPr>
        <w:spacing w:after="100" w:line="252" w:lineRule="auto"/>
      </w:pPr>
      <w:r>
        <w:t>La date cible reste en vigueur tant qu’aucune décision formelle ne la remplace.</w:t>
      </w:r>
    </w:p>
    <w:p>
      <w:pPr>
        <w:keepNext/>
        <w:spacing w:after="40" w:line="252" w:lineRule="auto"/>
      </w:pPr>
      <w:r>
        <w:rPr>
          <w:rFonts w:ascii="Carlito" w:hAnsi="Carlito"/>
          <w:b/>
          <w:color w:val="2F75B5"/>
          <w:sz w:val="18"/>
        </w:rPr>
        <w:t>Ce qui reste à clarifier</w:t>
      </w:r>
    </w:p>
    <w:p>
      <w:pPr>
        <w:spacing w:after="100" w:line="252" w:lineRule="auto"/>
      </w:pPr>
      <w:r>
        <w:t>Seuil minimal de préparation; validations obligatoires; conditions permettant un pilote limité; critères justifiant un report.</w:t>
      </w:r>
    </w:p>
    <w:p>
      <w:pPr>
        <w:keepNext/>
        <w:spacing w:after="40" w:line="252" w:lineRule="auto"/>
      </w:pPr>
      <w:r>
        <w:rPr>
          <w:rFonts w:ascii="Carlito" w:hAnsi="Carlito"/>
          <w:b/>
          <w:color w:val="2F75B5"/>
          <w:sz w:val="18"/>
        </w:rPr>
        <w:t>Impact si non résolu</w:t>
      </w:r>
    </w:p>
    <w:p>
      <w:pPr>
        <w:spacing w:after="100" w:line="252" w:lineRule="auto"/>
      </w:pPr>
      <w:r>
        <w:t>Sans critères explicites, le débat peut devenir une opposition entre dates plutôt qu’une évaluation factuelle de la préparation.</w:t>
      </w:r>
    </w:p>
    <w:p>
      <w:pPr>
        <w:keepNext/>
        <w:spacing w:after="40" w:line="252" w:lineRule="auto"/>
      </w:pPr>
      <w:r>
        <w:rPr>
          <w:rFonts w:ascii="Carlito" w:hAnsi="Carlito"/>
          <w:b/>
          <w:color w:val="2F75B5"/>
          <w:sz w:val="18"/>
        </w:rPr>
        <w:t>Fonctions concernées</w:t>
      </w:r>
    </w:p>
    <w:p>
      <w:pPr>
        <w:spacing w:after="100" w:line="252" w:lineRule="auto"/>
      </w:pPr>
      <w:r>
        <w:t>Sponsor Opérations + Comité de lancement</w:t>
      </w:r>
    </w:p>
    <w:p>
      <w:pPr>
        <w:keepNext/>
        <w:spacing w:after="40" w:line="252" w:lineRule="auto"/>
      </w:pPr>
      <w:r>
        <w:rPr>
          <w:rFonts w:ascii="Carlito" w:hAnsi="Carlito"/>
          <w:b/>
          <w:color w:val="2F75B5"/>
          <w:sz w:val="18"/>
        </w:rPr>
        <w:t>Résultat attendu</w:t>
      </w:r>
    </w:p>
    <w:p>
      <w:pPr>
        <w:spacing w:after="100" w:line="252" w:lineRule="auto"/>
      </w:pPr>
      <w:r>
        <w:t>Adopter des critères Go / pilote limité / report avant la décision finale.</w:t>
      </w:r>
    </w:p>
    <w:p>
      <w:pPr>
        <w:spacing w:after="20" w:line="252" w:lineRule="auto"/>
      </w:pPr>
    </w:p>
    <w:tbl>
      <w:tblPr>
        <w:tblW w:type="auto" w:w="0"/>
        <w:jc w:val="left"/>
        <w:tblLayout w:type="fixed"/>
        <w:tblLook w:firstColumn="1" w:firstRow="1" w:lastColumn="0" w:lastRow="0" w:noHBand="0" w:noVBand="1" w:val="04A0"/>
        <w:tblBorders>
          <w:top w:val="single" w:sz="3" w:color="D9DEE5"/>
          <w:left w:val="single" w:sz="3" w:color="D9DEE5"/>
          <w:bottom w:val="single" w:sz="3" w:color="D9DEE5"/>
          <w:right w:val="single" w:sz="3" w:color="D9DEE5"/>
          <w:insideH w:val="single" w:sz="3" w:color="D9DEE5"/>
          <w:insideV w:val="single" w:sz="3" w:color="D9DEE5"/>
        </w:tblBorders>
      </w:tblPr>
      <w:tblGrid>
        <w:gridCol w:w="5083"/>
        <w:gridCol w:w="5083"/>
      </w:tblGrid>
      <w:tr>
        <w:trPr>
          <w:cantSplit/>
        </w:trPr>
        <w:tc>
          <w:tcPr>
            <w:tcW w:type="dxa" w:w="5083"/>
            <w:vAlign w:val="center"/>
            <w:tcMar>
              <w:top w:w="90" w:type="dxa"/>
              <w:start w:w="90" w:type="dxa"/>
              <w:bottom w:w="90" w:type="dxa"/>
              <w:end w:w="90" w:type="dxa"/>
            </w:tcMar>
            <w:shd w:fill="2E8B8B"/>
          </w:tcPr>
          <w:p>
            <w:pPr>
              <w:spacing w:after="0"/>
              <w:jc w:val="center"/>
            </w:pPr>
            <w:r/>
            <w:r>
              <w:rPr>
                <w:rFonts w:ascii="Carlito" w:hAnsi="Carlito"/>
                <w:b/>
                <w:color w:val="FFFFFF"/>
                <w:sz w:val="20"/>
              </w:rPr>
              <w:t>Q-11</w:t>
            </w:r>
          </w:p>
        </w:tc>
        <w:tc>
          <w:tcPr>
            <w:tcW w:type="dxa" w:w="5083"/>
            <w:vAlign w:val="center"/>
            <w:tcMar>
              <w:top w:w="90" w:type="dxa"/>
              <w:start w:w="90" w:type="dxa"/>
              <w:bottom w:w="90" w:type="dxa"/>
              <w:end w:w="90" w:type="dxa"/>
            </w:tcMar>
            <w:shd w:fill="EAF6F6"/>
          </w:tcPr>
          <w:p>
            <w:pPr>
              <w:spacing w:after="0"/>
            </w:pPr>
            <w:r/>
            <w:r>
              <w:rPr>
                <w:rFonts w:ascii="Carlito" w:hAnsi="Carlito"/>
                <w:b/>
                <w:color w:val="17365D"/>
                <w:sz w:val="21"/>
              </w:rPr>
              <w:t>Que peut-on communiquer avant les validations finales?</w:t>
            </w:r>
          </w:p>
        </w:tc>
      </w:tr>
    </w:tbl>
    <w:tbl>
      <w:tblPr>
        <w:tblW w:type="auto" w:w="0"/>
        <w:jc w:val="left"/>
        <w:tblLayout w:type="fixed"/>
        <w:tblLook w:firstColumn="1" w:firstRow="1" w:lastColumn="0" w:lastRow="0" w:noHBand="0" w:noVBand="1" w:val="04A0"/>
        <w:tblBorders>
          <w:top w:val="single" w:sz="2" w:color="D9DEE5"/>
          <w:left w:val="single" w:sz="2" w:color="D9DEE5"/>
          <w:bottom w:val="single" w:sz="2" w:color="D9DEE5"/>
          <w:right w:val="single" w:sz="2" w:color="D9DEE5"/>
          <w:insideH w:val="single" w:sz="2" w:color="D9DEE5"/>
          <w:insideV w:val="single" w:sz="2" w:color="D9DEE5"/>
        </w:tblBorders>
      </w:tblPr>
      <w:tblGrid>
        <w:gridCol w:w="5083"/>
        <w:gridCol w:w="5083"/>
      </w:tblGrid>
      <w:tr>
        <w:tc>
          <w:tcPr>
            <w:tcW w:type="dxa" w:w="5083"/>
            <w:vAlign w:val="center"/>
            <w:tcMar>
              <w:top w:w="90" w:type="dxa"/>
              <w:start w:w="90" w:type="dxa"/>
              <w:bottom w:w="90" w:type="dxa"/>
              <w:end w:w="90" w:type="dxa"/>
            </w:tcMar>
          </w:tcPr>
          <w:p>
            <w:pPr>
              <w:spacing w:after="0"/>
            </w:pPr>
            <w:r/>
            <w:r>
              <w:rPr>
                <w:rFonts w:ascii="Carlito" w:hAnsi="Carlito"/>
                <w:b/>
                <w:color w:val="2F75B5"/>
                <w:sz w:val="16"/>
              </w:rPr>
              <w:t>STATUT</w:t>
            </w:r>
          </w:p>
        </w:tc>
        <w:tc>
          <w:tcPr>
            <w:tcW w:type="dxa" w:w="5083"/>
            <w:vAlign w:val="center"/>
            <w:tcMar>
              <w:top w:w="90" w:type="dxa"/>
              <w:start w:w="90" w:type="dxa"/>
              <w:bottom w:w="90" w:type="dxa"/>
              <w:end w:w="90" w:type="dxa"/>
            </w:tcMar>
            <w:shd w:fill="FFF4CE"/>
          </w:tcPr>
          <w:p>
            <w:pPr>
              <w:spacing w:after="0"/>
            </w:pPr>
            <w:r/>
            <w:r>
              <w:rPr>
                <w:rFonts w:ascii="Carlito" w:hAnsi="Carlito"/>
                <w:b/>
                <w:color w:val="40464D"/>
                <w:sz w:val="17"/>
              </w:rPr>
              <w:t>VALIDATION REQUISE</w:t>
            </w:r>
          </w:p>
        </w:tc>
      </w:tr>
    </w:tbl>
    <w:p>
      <w:pPr>
        <w:keepNext/>
        <w:spacing w:after="40" w:line="252" w:lineRule="auto"/>
      </w:pPr>
      <w:r>
        <w:rPr>
          <w:rFonts w:ascii="Carlito" w:hAnsi="Carlito"/>
          <w:b/>
          <w:color w:val="2F75B5"/>
          <w:sz w:val="18"/>
        </w:rPr>
        <w:t>Contexte</w:t>
      </w:r>
    </w:p>
    <w:p>
      <w:pPr>
        <w:spacing w:after="100" w:line="252" w:lineRule="auto"/>
      </w:pPr>
      <w:r>
        <w:t>La préparation du lancement nécessitera une communication interne coordonnée.</w:t>
      </w:r>
    </w:p>
    <w:p>
      <w:pPr>
        <w:keepNext/>
        <w:spacing w:after="40" w:line="252" w:lineRule="auto"/>
      </w:pPr>
      <w:r>
        <w:rPr>
          <w:rFonts w:ascii="Carlito" w:hAnsi="Carlito"/>
          <w:b/>
          <w:color w:val="2F75B5"/>
          <w:sz w:val="18"/>
        </w:rPr>
        <w:t>Ce qui est établi</w:t>
      </w:r>
    </w:p>
    <w:p>
      <w:pPr>
        <w:spacing w:after="100" w:line="252" w:lineRule="auto"/>
      </w:pPr>
      <w:r>
        <w:t>La charte prévoit des activités de communication dans l’enveloppe initiale, mais elle n’autorise pas à annoncer comme acquises des décisions qui ne le sont pas encore.</w:t>
      </w:r>
    </w:p>
    <w:p>
      <w:pPr>
        <w:keepNext/>
        <w:spacing w:after="40" w:line="252" w:lineRule="auto"/>
      </w:pPr>
      <w:r>
        <w:rPr>
          <w:rFonts w:ascii="Carlito" w:hAnsi="Carlito"/>
          <w:b/>
          <w:color w:val="2F75B5"/>
          <w:sz w:val="18"/>
        </w:rPr>
        <w:t>Ce qui reste à clarifier</w:t>
      </w:r>
    </w:p>
    <w:p>
      <w:pPr>
        <w:spacing w:after="100" w:line="252" w:lineRule="auto"/>
      </w:pPr>
      <w:r>
        <w:t>Date de communication; messages autorisés; audience; formulations relatives au calendrier, au budget ou au périmètre; approbations préalables.</w:t>
      </w:r>
    </w:p>
    <w:p>
      <w:pPr>
        <w:keepNext/>
        <w:spacing w:after="40" w:line="252" w:lineRule="auto"/>
      </w:pPr>
      <w:r>
        <w:rPr>
          <w:rFonts w:ascii="Carlito" w:hAnsi="Carlito"/>
          <w:b/>
          <w:color w:val="2F75B5"/>
          <w:sz w:val="18"/>
        </w:rPr>
        <w:t>Impact si non résolu</w:t>
      </w:r>
    </w:p>
    <w:p>
      <w:pPr>
        <w:spacing w:after="100" w:line="252" w:lineRule="auto"/>
      </w:pPr>
      <w:r>
        <w:t>Une communication trop précoce peut transformer une intention en engagement perçu et réduire la marge de décision du comité.</w:t>
      </w:r>
    </w:p>
    <w:p>
      <w:pPr>
        <w:keepNext/>
        <w:spacing w:after="40" w:line="252" w:lineRule="auto"/>
      </w:pPr>
      <w:r>
        <w:rPr>
          <w:rFonts w:ascii="Carlito" w:hAnsi="Carlito"/>
          <w:b/>
          <w:color w:val="2F75B5"/>
          <w:sz w:val="18"/>
        </w:rPr>
        <w:t>Fonctions concernées</w:t>
      </w:r>
    </w:p>
    <w:p>
      <w:pPr>
        <w:spacing w:after="100" w:line="252" w:lineRule="auto"/>
      </w:pPr>
      <w:r>
        <w:t>Communications + Sponsor + Juridique</w:t>
      </w:r>
    </w:p>
    <w:p>
      <w:pPr>
        <w:keepNext/>
        <w:spacing w:after="40" w:line="252" w:lineRule="auto"/>
      </w:pPr>
      <w:r>
        <w:rPr>
          <w:rFonts w:ascii="Carlito" w:hAnsi="Carlito"/>
          <w:b/>
          <w:color w:val="2F75B5"/>
          <w:sz w:val="18"/>
        </w:rPr>
        <w:t>Résultat attendu</w:t>
      </w:r>
    </w:p>
    <w:p>
      <w:pPr>
        <w:spacing w:after="100" w:line="252" w:lineRule="auto"/>
      </w:pPr>
      <w:r>
        <w:t>Définir le point de contrôle et les messages approuvés avant toute annonce de lancement.</w:t>
      </w:r>
    </w:p>
    <w:p>
      <w:pPr>
        <w:spacing w:after="20" w:line="252" w:lineRule="auto"/>
      </w:pPr>
    </w:p>
    <w:tbl>
      <w:tblPr>
        <w:tblW w:type="auto" w:w="0"/>
        <w:jc w:val="left"/>
        <w:tblLayout w:type="fixed"/>
        <w:tblLook w:firstColumn="1" w:firstRow="1" w:lastColumn="0" w:lastRow="0" w:noHBand="0" w:noVBand="1" w:val="04A0"/>
        <w:tblBorders>
          <w:top w:val="single" w:sz="3" w:color="D9DEE5"/>
          <w:left w:val="single" w:sz="3" w:color="D9DEE5"/>
          <w:bottom w:val="single" w:sz="3" w:color="D9DEE5"/>
          <w:right w:val="single" w:sz="3" w:color="D9DEE5"/>
          <w:insideH w:val="single" w:sz="3" w:color="D9DEE5"/>
          <w:insideV w:val="single" w:sz="3" w:color="D9DEE5"/>
        </w:tblBorders>
      </w:tblPr>
      <w:tblGrid>
        <w:gridCol w:w="5083"/>
        <w:gridCol w:w="5083"/>
      </w:tblGrid>
      <w:tr>
        <w:trPr>
          <w:cantSplit/>
        </w:trPr>
        <w:tc>
          <w:tcPr>
            <w:tcW w:type="dxa" w:w="5083"/>
            <w:vAlign w:val="center"/>
            <w:tcMar>
              <w:top w:w="90" w:type="dxa"/>
              <w:start w:w="90" w:type="dxa"/>
              <w:bottom w:w="90" w:type="dxa"/>
              <w:end w:w="90" w:type="dxa"/>
            </w:tcMar>
            <w:shd w:fill="2E8B8B"/>
          </w:tcPr>
          <w:p>
            <w:pPr>
              <w:spacing w:after="0"/>
              <w:jc w:val="center"/>
            </w:pPr>
            <w:r/>
            <w:r>
              <w:rPr>
                <w:rFonts w:ascii="Carlito" w:hAnsi="Carlito"/>
                <w:b/>
                <w:color w:val="FFFFFF"/>
                <w:sz w:val="20"/>
              </w:rPr>
              <w:t>Q-12</w:t>
            </w:r>
          </w:p>
        </w:tc>
        <w:tc>
          <w:tcPr>
            <w:tcW w:type="dxa" w:w="5083"/>
            <w:vAlign w:val="center"/>
            <w:tcMar>
              <w:top w:w="90" w:type="dxa"/>
              <w:start w:w="90" w:type="dxa"/>
              <w:bottom w:w="90" w:type="dxa"/>
              <w:end w:w="90" w:type="dxa"/>
            </w:tcMar>
            <w:shd w:fill="EAF6F6"/>
          </w:tcPr>
          <w:p>
            <w:pPr>
              <w:spacing w:after="0"/>
            </w:pPr>
            <w:r/>
            <w:r>
              <w:rPr>
                <w:rFonts w:ascii="Carlito" w:hAnsi="Carlito"/>
                <w:b/>
                <w:color w:val="17365D"/>
                <w:sz w:val="21"/>
              </w:rPr>
              <w:t>Comment la cible de 70 % d’utilisation active sera-t-elle mesurée?</w:t>
            </w:r>
          </w:p>
        </w:tc>
      </w:tr>
    </w:tbl>
    <w:tbl>
      <w:tblPr>
        <w:tblW w:type="auto" w:w="0"/>
        <w:jc w:val="left"/>
        <w:tblLayout w:type="fixed"/>
        <w:tblLook w:firstColumn="1" w:firstRow="1" w:lastColumn="0" w:lastRow="0" w:noHBand="0" w:noVBand="1" w:val="04A0"/>
        <w:tblBorders>
          <w:top w:val="single" w:sz="2" w:color="D9DEE5"/>
          <w:left w:val="single" w:sz="2" w:color="D9DEE5"/>
          <w:bottom w:val="single" w:sz="2" w:color="D9DEE5"/>
          <w:right w:val="single" w:sz="2" w:color="D9DEE5"/>
          <w:insideH w:val="single" w:sz="2" w:color="D9DEE5"/>
          <w:insideV w:val="single" w:sz="2" w:color="D9DEE5"/>
        </w:tblBorders>
      </w:tblPr>
      <w:tblGrid>
        <w:gridCol w:w="5083"/>
        <w:gridCol w:w="5083"/>
      </w:tblGrid>
      <w:tr>
        <w:tc>
          <w:tcPr>
            <w:tcW w:type="dxa" w:w="5083"/>
            <w:vAlign w:val="center"/>
            <w:tcMar>
              <w:top w:w="90" w:type="dxa"/>
              <w:start w:w="90" w:type="dxa"/>
              <w:bottom w:w="90" w:type="dxa"/>
              <w:end w:w="90" w:type="dxa"/>
            </w:tcMar>
          </w:tcPr>
          <w:p>
            <w:pPr>
              <w:spacing w:after="0"/>
            </w:pPr>
            <w:r/>
            <w:r>
              <w:rPr>
                <w:rFonts w:ascii="Carlito" w:hAnsi="Carlito"/>
                <w:b/>
                <w:color w:val="2F75B5"/>
                <w:sz w:val="16"/>
              </w:rPr>
              <w:t>STATUT</w:t>
            </w:r>
          </w:p>
        </w:tc>
        <w:tc>
          <w:tcPr>
            <w:tcW w:type="dxa" w:w="5083"/>
            <w:vAlign w:val="center"/>
            <w:tcMar>
              <w:top w:w="90" w:type="dxa"/>
              <w:start w:w="90" w:type="dxa"/>
              <w:bottom w:w="90" w:type="dxa"/>
              <w:end w:w="90" w:type="dxa"/>
            </w:tcMar>
            <w:shd w:fill="FFF4CE"/>
          </w:tcPr>
          <w:p>
            <w:pPr>
              <w:spacing w:after="0"/>
            </w:pPr>
            <w:r/>
            <w:r>
              <w:rPr>
                <w:rFonts w:ascii="Carlito" w:hAnsi="Carlito"/>
                <w:b/>
                <w:color w:val="40464D"/>
                <w:sz w:val="17"/>
              </w:rPr>
              <w:t>À PRÉCISER</w:t>
            </w:r>
          </w:p>
        </w:tc>
      </w:tr>
    </w:tbl>
    <w:p>
      <w:pPr>
        <w:keepNext/>
        <w:spacing w:after="40" w:line="252" w:lineRule="auto"/>
      </w:pPr>
      <w:r>
        <w:rPr>
          <w:rFonts w:ascii="Carlito" w:hAnsi="Carlito"/>
          <w:b/>
          <w:color w:val="2F75B5"/>
          <w:sz w:val="18"/>
        </w:rPr>
        <w:t>Contexte</w:t>
      </w:r>
    </w:p>
    <w:p>
      <w:pPr>
        <w:spacing w:after="100" w:line="252" w:lineRule="auto"/>
      </w:pPr>
      <w:r>
        <w:t>La charte fixe un objectif de 70 % d’utilisateurs actifs dans les trois mois suivant le lancement.</w:t>
      </w:r>
    </w:p>
    <w:p>
      <w:pPr>
        <w:keepNext/>
        <w:spacing w:after="40" w:line="252" w:lineRule="auto"/>
      </w:pPr>
      <w:r>
        <w:rPr>
          <w:rFonts w:ascii="Carlito" w:hAnsi="Carlito"/>
          <w:b/>
          <w:color w:val="2F75B5"/>
          <w:sz w:val="18"/>
        </w:rPr>
        <w:t>Ce qui est établi</w:t>
      </w:r>
    </w:p>
    <w:p>
      <w:pPr>
        <w:spacing w:after="100" w:line="252" w:lineRule="auto"/>
      </w:pPr>
      <w:r>
        <w:t>La mesure doit porter sur l’usage réel, et non uniquement sur l’attribution de licences.</w:t>
      </w:r>
    </w:p>
    <w:p>
      <w:pPr>
        <w:keepNext/>
        <w:spacing w:after="40" w:line="252" w:lineRule="auto"/>
      </w:pPr>
      <w:r>
        <w:rPr>
          <w:rFonts w:ascii="Carlito" w:hAnsi="Carlito"/>
          <w:b/>
          <w:color w:val="2F75B5"/>
          <w:sz w:val="18"/>
        </w:rPr>
        <w:t>Ce qui reste à clarifier</w:t>
      </w:r>
    </w:p>
    <w:p>
      <w:pPr>
        <w:spacing w:after="100" w:line="252" w:lineRule="auto"/>
      </w:pPr>
      <w:r>
        <w:t>Population de référence; définition d’un utilisateur actif; fréquence de mesure; source des données; traitement des personnes hors périmètre ou absentes.</w:t>
      </w:r>
    </w:p>
    <w:p>
      <w:pPr>
        <w:keepNext/>
        <w:spacing w:after="40" w:line="252" w:lineRule="auto"/>
      </w:pPr>
      <w:r>
        <w:rPr>
          <w:rFonts w:ascii="Carlito" w:hAnsi="Carlito"/>
          <w:b/>
          <w:color w:val="2F75B5"/>
          <w:sz w:val="18"/>
        </w:rPr>
        <w:t>Impact si non résolu</w:t>
      </w:r>
    </w:p>
    <w:p>
      <w:pPr>
        <w:spacing w:after="100" w:line="252" w:lineRule="auto"/>
      </w:pPr>
      <w:r>
        <w:t>Sans définition commune, deux rapports peuvent afficher des taux différents tout en utilisant chacun une méthode plausible.</w:t>
      </w:r>
    </w:p>
    <w:p>
      <w:pPr>
        <w:keepNext/>
        <w:spacing w:after="40" w:line="252" w:lineRule="auto"/>
      </w:pPr>
      <w:r>
        <w:rPr>
          <w:rFonts w:ascii="Carlito" w:hAnsi="Carlito"/>
          <w:b/>
          <w:color w:val="2F75B5"/>
          <w:sz w:val="18"/>
        </w:rPr>
        <w:t>Fonctions concernées</w:t>
      </w:r>
    </w:p>
    <w:p>
      <w:pPr>
        <w:spacing w:after="100" w:line="252" w:lineRule="auto"/>
      </w:pPr>
      <w:r>
        <w:t>Responsable du programme + TI / Adoption + Sponsor</w:t>
      </w:r>
    </w:p>
    <w:p>
      <w:pPr>
        <w:keepNext/>
        <w:spacing w:after="40" w:line="252" w:lineRule="auto"/>
      </w:pPr>
      <w:r>
        <w:rPr>
          <w:rFonts w:ascii="Carlito" w:hAnsi="Carlito"/>
          <w:b/>
          <w:color w:val="2F75B5"/>
          <w:sz w:val="18"/>
        </w:rPr>
        <w:t>Résultat attendu</w:t>
      </w:r>
    </w:p>
    <w:p>
      <w:pPr>
        <w:spacing w:after="100" w:line="252" w:lineRule="auto"/>
      </w:pPr>
      <w:r>
        <w:t>Valider la définition de la métrique avant le lancement afin de disposer d’un indicateur comparable.</w:t>
      </w:r>
    </w:p>
    <w:p>
      <w:pPr>
        <w:spacing w:after="20" w:line="252" w:lineRule="auto"/>
      </w:pPr>
    </w:p>
    <w:p>
      <w:pPr>
        <w:pStyle w:val="Heading1"/>
        <w:keepNext/>
      </w:pPr>
      <w:r>
        <w:t>4. Règles de mise à jour du registre</w:t>
      </w:r>
    </w:p>
    <w:p>
      <w:pPr>
        <w:pStyle w:val="ListBullet"/>
        <w:spacing w:after="60"/>
      </w:pPr>
      <w:r>
        <w:t>Une question reste ouverte tant qu’une source d’autorité ou une décision formelle ne permet pas de la fermer.</w:t>
      </w:r>
    </w:p>
    <w:p>
      <w:pPr>
        <w:pStyle w:val="ListBullet"/>
        <w:spacing w:after="60"/>
      </w:pPr>
      <w:r>
        <w:t>Une valeur présente dans une présentation, un fichier de travail, un courriel ou une conversation ne remplace pas automatiquement un paramètre de la charte.</w:t>
      </w:r>
    </w:p>
    <w:p>
      <w:pPr>
        <w:pStyle w:val="ListBullet"/>
        <w:spacing w:after="60"/>
      </w:pPr>
      <w:r>
        <w:t>Lorsqu’une question est résolue, la date, l’autorité de décision et la source de référence doivent être consignées.</w:t>
      </w:r>
    </w:p>
    <w:p>
      <w:pPr>
        <w:pStyle w:val="ListBullet"/>
        <w:spacing w:after="60"/>
      </w:pPr>
      <w:r>
        <w:t>Si une nouvelle information contredit un paramètre établi, le registre doit qualifier explicitement la situation : proposition de changement, erreur de source, évolution de périmètre ou décision approuvée.</w:t>
      </w:r>
    </w:p>
    <w:p>
      <w:pPr>
        <w:pStyle w:val="ListBullet"/>
        <w:spacing w:after="60"/>
      </w:pPr>
      <w:r>
        <w:t>Les questions liées à la sécurité, aux données sensibles, au budget et aux engagements de lancement ne doivent pas être fermées sur la seule base d’une réponse générée par Copilot.</w:t>
      </w:r>
    </w:p>
    <w:p>
      <w:pPr>
        <w:pStyle w:val="Heading1"/>
        <w:keepNext/>
      </w:pPr>
      <w:r>
        <w:t>5. Priorités pour le prochain comité</w:t>
      </w:r>
    </w:p>
    <w:p>
      <w:pPr>
        <w:spacing w:after="140" w:line="252" w:lineRule="auto"/>
      </w:pPr>
      <w:r>
        <w:t>Les sujets suivants sont considérés comme prioritaires parce qu’ils peuvent modifier directement la décision de lancement :</w:t>
      </w:r>
    </w:p>
    <w:tbl>
      <w:tblPr>
        <w:tblW w:type="auto" w:w="0"/>
        <w:jc w:val="center"/>
        <w:tblLayout w:type="fixed"/>
        <w:tblLook w:firstColumn="1" w:firstRow="1" w:lastColumn="0" w:lastRow="0" w:noHBand="0" w:noVBand="1" w:val="04A0"/>
        <w:tblBorders>
          <w:top w:val="single" w:sz="3" w:color="D9DEE5"/>
          <w:left w:val="single" w:sz="3" w:color="D9DEE5"/>
          <w:bottom w:val="single" w:sz="3" w:color="D9DEE5"/>
          <w:right w:val="single" w:sz="3" w:color="D9DEE5"/>
          <w:insideH w:val="single" w:sz="3" w:color="D9DEE5"/>
          <w:insideV w:val="single" w:sz="3" w:color="D9DEE5"/>
        </w:tblBorders>
      </w:tblPr>
      <w:tblGrid>
        <w:gridCol w:w="2541"/>
        <w:gridCol w:w="2541"/>
        <w:gridCol w:w="2541"/>
        <w:gridCol w:w="2541"/>
      </w:tblGrid>
      <w:tr>
        <w:trPr>
          <w:tblHeader w:val="true"/>
        </w:trPr>
        <w:tc>
          <w:tcPr>
            <w:tcW w:type="dxa" w:w="2541"/>
            <w:vAlign w:val="center"/>
            <w:tcMar>
              <w:top w:w="90" w:type="dxa"/>
              <w:start w:w="90" w:type="dxa"/>
              <w:bottom w:w="90" w:type="dxa"/>
              <w:end w:w="90" w:type="dxa"/>
            </w:tcMar>
            <w:shd w:fill="17365D"/>
          </w:tcPr>
          <w:p>
            <w:pPr>
              <w:spacing w:after="0"/>
            </w:pPr>
            <w:r/>
            <w:r>
              <w:rPr>
                <w:rFonts w:ascii="Carlito" w:hAnsi="Carlito"/>
                <w:b/>
                <w:color w:val="FFFFFF"/>
                <w:sz w:val="17"/>
              </w:rPr>
              <w:t>Priorité</w:t>
            </w:r>
          </w:p>
        </w:tc>
        <w:tc>
          <w:tcPr>
            <w:tcW w:type="dxa" w:w="2541"/>
            <w:vAlign w:val="center"/>
            <w:tcMar>
              <w:top w:w="90" w:type="dxa"/>
              <w:start w:w="90" w:type="dxa"/>
              <w:bottom w:w="90" w:type="dxa"/>
              <w:end w:w="90" w:type="dxa"/>
            </w:tcMar>
            <w:shd w:fill="17365D"/>
          </w:tcPr>
          <w:p>
            <w:pPr>
              <w:spacing w:after="0"/>
            </w:pPr>
            <w:r/>
            <w:r>
              <w:rPr>
                <w:rFonts w:ascii="Carlito" w:hAnsi="Carlito"/>
                <w:b/>
                <w:color w:val="FFFFFF"/>
                <w:sz w:val="17"/>
              </w:rPr>
              <w:t>Question</w:t>
            </w:r>
          </w:p>
        </w:tc>
        <w:tc>
          <w:tcPr>
            <w:tcW w:type="dxa" w:w="2541"/>
            <w:vAlign w:val="center"/>
            <w:tcMar>
              <w:top w:w="90" w:type="dxa"/>
              <w:start w:w="90" w:type="dxa"/>
              <w:bottom w:w="90" w:type="dxa"/>
              <w:end w:w="90" w:type="dxa"/>
            </w:tcMar>
            <w:shd w:fill="17365D"/>
          </w:tcPr>
          <w:p>
            <w:pPr>
              <w:spacing w:after="0"/>
            </w:pPr>
            <w:r/>
            <w:r>
              <w:rPr>
                <w:rFonts w:ascii="Carlito" w:hAnsi="Carlito"/>
                <w:b/>
                <w:color w:val="FFFFFF"/>
                <w:sz w:val="17"/>
              </w:rPr>
              <w:t>Pourquoi maintenant?</w:t>
            </w:r>
          </w:p>
        </w:tc>
        <w:tc>
          <w:tcPr>
            <w:tcW w:type="dxa" w:w="2541"/>
            <w:vAlign w:val="center"/>
            <w:tcMar>
              <w:top w:w="90" w:type="dxa"/>
              <w:start w:w="90" w:type="dxa"/>
              <w:bottom w:w="90" w:type="dxa"/>
              <w:end w:w="90" w:type="dxa"/>
            </w:tcMar>
            <w:shd w:fill="17365D"/>
          </w:tcPr>
          <w:p>
            <w:pPr>
              <w:spacing w:after="0"/>
            </w:pPr>
            <w:r/>
            <w:r>
              <w:rPr>
                <w:rFonts w:ascii="Carlito" w:hAnsi="Carlito"/>
                <w:b/>
                <w:color w:val="FFFFFF"/>
                <w:sz w:val="17"/>
              </w:rPr>
              <w:t>Décision attendue</w:t>
            </w:r>
          </w:p>
        </w:tc>
      </w:tr>
      <w:tr>
        <w:trPr>
          <w:cantSplit/>
        </w:trPr>
        <w:tc>
          <w:tcPr>
            <w:tcW w:type="dxa" w:w="2541"/>
            <w:vAlign w:val="center"/>
            <w:tcMar>
              <w:top w:w="90" w:type="dxa"/>
              <w:start w:w="90" w:type="dxa"/>
              <w:bottom w:w="90" w:type="dxa"/>
              <w:end w:w="90" w:type="dxa"/>
            </w:tcMar>
          </w:tcPr>
          <w:p>
            <w:pPr>
              <w:spacing w:after="0"/>
            </w:pPr>
            <w:r/>
            <w:r>
              <w:rPr>
                <w:rFonts w:ascii="Carlito" w:hAnsi="Carlito"/>
                <w:b/>
                <w:color w:val="40464D"/>
                <w:sz w:val="16"/>
              </w:rPr>
              <w:t>1</w:t>
            </w:r>
          </w:p>
        </w:tc>
        <w:tc>
          <w:tcPr>
            <w:tcW w:type="dxa" w:w="2541"/>
            <w:vAlign w:val="center"/>
            <w:tcMar>
              <w:top w:w="90" w:type="dxa"/>
              <w:start w:w="90" w:type="dxa"/>
              <w:bottom w:w="90" w:type="dxa"/>
              <w:end w:w="90" w:type="dxa"/>
            </w:tcMar>
          </w:tcPr>
          <w:p>
            <w:pPr>
              <w:spacing w:after="0"/>
            </w:pPr>
            <w:r/>
            <w:r>
              <w:rPr>
                <w:rFonts w:ascii="Carlito" w:hAnsi="Carlito"/>
                <w:b w:val="0"/>
                <w:color w:val="40464D"/>
                <w:sz w:val="16"/>
              </w:rPr>
              <w:t>Q-03 Budget complet</w:t>
            </w:r>
          </w:p>
        </w:tc>
        <w:tc>
          <w:tcPr>
            <w:tcW w:type="dxa" w:w="2541"/>
            <w:vAlign w:val="center"/>
            <w:tcMar>
              <w:top w:w="90" w:type="dxa"/>
              <w:start w:w="90" w:type="dxa"/>
              <w:bottom w:w="90" w:type="dxa"/>
              <w:end w:w="90" w:type="dxa"/>
            </w:tcMar>
          </w:tcPr>
          <w:p>
            <w:pPr>
              <w:spacing w:after="0"/>
            </w:pPr>
            <w:r/>
            <w:r>
              <w:rPr>
                <w:rFonts w:ascii="Carlito" w:hAnsi="Carlito"/>
                <w:b w:val="0"/>
                <w:color w:val="40464D"/>
                <w:sz w:val="16"/>
              </w:rPr>
              <w:t>Le coût de référence n’inclut pas encore les licences.</w:t>
            </w:r>
          </w:p>
        </w:tc>
        <w:tc>
          <w:tcPr>
            <w:tcW w:type="dxa" w:w="2541"/>
            <w:vAlign w:val="center"/>
            <w:tcMar>
              <w:top w:w="90" w:type="dxa"/>
              <w:start w:w="90" w:type="dxa"/>
              <w:bottom w:w="90" w:type="dxa"/>
              <w:end w:w="90" w:type="dxa"/>
            </w:tcMar>
          </w:tcPr>
          <w:p>
            <w:pPr>
              <w:spacing w:after="0"/>
            </w:pPr>
            <w:r/>
            <w:r>
              <w:rPr>
                <w:rFonts w:ascii="Carlito" w:hAnsi="Carlito"/>
                <w:b w:val="0"/>
                <w:color w:val="40464D"/>
                <w:sz w:val="16"/>
              </w:rPr>
              <w:t>Confirmer budget et capacité d’engagement.</w:t>
            </w:r>
          </w:p>
        </w:tc>
      </w:tr>
      <w:tr>
        <w:trPr>
          <w:cantSplit/>
        </w:trPr>
        <w:tc>
          <w:tcPr>
            <w:tcW w:type="dxa" w:w="2541"/>
            <w:vAlign w:val="center"/>
            <w:tcMar>
              <w:top w:w="90" w:type="dxa"/>
              <w:start w:w="90" w:type="dxa"/>
              <w:bottom w:w="90" w:type="dxa"/>
              <w:end w:w="90" w:type="dxa"/>
            </w:tcMar>
            <w:shd w:fill="F3F5F7"/>
          </w:tcPr>
          <w:p>
            <w:pPr>
              <w:spacing w:after="0"/>
            </w:pPr>
            <w:r/>
            <w:r>
              <w:rPr>
                <w:rFonts w:ascii="Carlito" w:hAnsi="Carlito"/>
                <w:b/>
                <w:color w:val="40464D"/>
                <w:sz w:val="16"/>
              </w:rPr>
              <w:t>2</w:t>
            </w:r>
          </w:p>
        </w:tc>
        <w:tc>
          <w:tcPr>
            <w:tcW w:type="dxa" w:w="2541"/>
            <w:vAlign w:val="center"/>
            <w:tcMar>
              <w:top w:w="90" w:type="dxa"/>
              <w:start w:w="90" w:type="dxa"/>
              <w:bottom w:w="90" w:type="dxa"/>
              <w:end w:w="90" w:type="dxa"/>
            </w:tcMar>
            <w:shd w:fill="F3F5F7"/>
          </w:tcPr>
          <w:p>
            <w:pPr>
              <w:spacing w:after="0"/>
            </w:pPr>
            <w:r/>
            <w:r>
              <w:rPr>
                <w:rFonts w:ascii="Carlito" w:hAnsi="Carlito"/>
                <w:b w:val="0"/>
                <w:color w:val="40464D"/>
                <w:sz w:val="16"/>
              </w:rPr>
              <w:t>Q-05 Données autorisées</w:t>
            </w:r>
          </w:p>
        </w:tc>
        <w:tc>
          <w:tcPr>
            <w:tcW w:type="dxa" w:w="2541"/>
            <w:vAlign w:val="center"/>
            <w:tcMar>
              <w:top w:w="90" w:type="dxa"/>
              <w:start w:w="90" w:type="dxa"/>
              <w:bottom w:w="90" w:type="dxa"/>
              <w:end w:w="90" w:type="dxa"/>
            </w:tcMar>
            <w:shd w:fill="F3F5F7"/>
          </w:tcPr>
          <w:p>
            <w:pPr>
              <w:spacing w:after="0"/>
            </w:pPr>
            <w:r/>
            <w:r>
              <w:rPr>
                <w:rFonts w:ascii="Carlito" w:hAnsi="Carlito"/>
                <w:b w:val="0"/>
                <w:color w:val="40464D"/>
                <w:sz w:val="16"/>
              </w:rPr>
              <w:t>Le pilote ne doit pas utiliser de données sensibles sans validation.</w:t>
            </w:r>
          </w:p>
        </w:tc>
        <w:tc>
          <w:tcPr>
            <w:tcW w:type="dxa" w:w="2541"/>
            <w:vAlign w:val="center"/>
            <w:tcMar>
              <w:top w:w="90" w:type="dxa"/>
              <w:start w:w="90" w:type="dxa"/>
              <w:bottom w:w="90" w:type="dxa"/>
              <w:end w:w="90" w:type="dxa"/>
            </w:tcMar>
            <w:shd w:fill="F3F5F7"/>
          </w:tcPr>
          <w:p>
            <w:pPr>
              <w:spacing w:after="0"/>
            </w:pPr>
            <w:r/>
            <w:r>
              <w:rPr>
                <w:rFonts w:ascii="Carlito" w:hAnsi="Carlito"/>
                <w:b w:val="0"/>
                <w:color w:val="40464D"/>
                <w:sz w:val="16"/>
              </w:rPr>
              <w:t>Confirmer règles d’usage et exclusions.</w:t>
            </w:r>
          </w:p>
        </w:tc>
      </w:tr>
      <w:tr>
        <w:trPr>
          <w:cantSplit/>
        </w:trPr>
        <w:tc>
          <w:tcPr>
            <w:tcW w:type="dxa" w:w="2541"/>
            <w:vAlign w:val="center"/>
            <w:tcMar>
              <w:top w:w="90" w:type="dxa"/>
              <w:start w:w="90" w:type="dxa"/>
              <w:bottom w:w="90" w:type="dxa"/>
              <w:end w:w="90" w:type="dxa"/>
            </w:tcMar>
          </w:tcPr>
          <w:p>
            <w:pPr>
              <w:spacing w:after="0"/>
            </w:pPr>
            <w:r/>
            <w:r>
              <w:rPr>
                <w:rFonts w:ascii="Carlito" w:hAnsi="Carlito"/>
                <w:b/>
                <w:color w:val="40464D"/>
                <w:sz w:val="16"/>
              </w:rPr>
              <w:t>3</w:t>
            </w:r>
          </w:p>
        </w:tc>
        <w:tc>
          <w:tcPr>
            <w:tcW w:type="dxa" w:w="2541"/>
            <w:vAlign w:val="center"/>
            <w:tcMar>
              <w:top w:w="90" w:type="dxa"/>
              <w:start w:w="90" w:type="dxa"/>
              <w:bottom w:w="90" w:type="dxa"/>
              <w:end w:w="90" w:type="dxa"/>
            </w:tcMar>
          </w:tcPr>
          <w:p>
            <w:pPr>
              <w:spacing w:after="0"/>
            </w:pPr>
            <w:r/>
            <w:r>
              <w:rPr>
                <w:rFonts w:ascii="Carlito" w:hAnsi="Carlito"/>
                <w:b w:val="0"/>
                <w:color w:val="40464D"/>
                <w:sz w:val="16"/>
              </w:rPr>
              <w:t>Q-10 Conditions du 15 octobre</w:t>
            </w:r>
          </w:p>
        </w:tc>
        <w:tc>
          <w:tcPr>
            <w:tcW w:type="dxa" w:w="2541"/>
            <w:vAlign w:val="center"/>
            <w:tcMar>
              <w:top w:w="90" w:type="dxa"/>
              <w:start w:w="90" w:type="dxa"/>
              <w:bottom w:w="90" w:type="dxa"/>
              <w:end w:w="90" w:type="dxa"/>
            </w:tcMar>
          </w:tcPr>
          <w:p>
            <w:pPr>
              <w:spacing w:after="0"/>
            </w:pPr>
            <w:r/>
            <w:r>
              <w:rPr>
                <w:rFonts w:ascii="Carlito" w:hAnsi="Carlito"/>
                <w:b w:val="0"/>
                <w:color w:val="40464D"/>
                <w:sz w:val="16"/>
              </w:rPr>
              <w:t>La date est une cible, mais les critères de maintien ne sont pas définis.</w:t>
            </w:r>
          </w:p>
        </w:tc>
        <w:tc>
          <w:tcPr>
            <w:tcW w:type="dxa" w:w="2541"/>
            <w:vAlign w:val="center"/>
            <w:tcMar>
              <w:top w:w="90" w:type="dxa"/>
              <w:start w:w="90" w:type="dxa"/>
              <w:bottom w:w="90" w:type="dxa"/>
              <w:end w:w="90" w:type="dxa"/>
            </w:tcMar>
          </w:tcPr>
          <w:p>
            <w:pPr>
              <w:spacing w:after="0"/>
            </w:pPr>
            <w:r/>
            <w:r>
              <w:rPr>
                <w:rFonts w:ascii="Carlito" w:hAnsi="Carlito"/>
                <w:b w:val="0"/>
                <w:color w:val="40464D"/>
                <w:sz w:val="16"/>
              </w:rPr>
              <w:t>Adopter critères Go / pilote limité / report.</w:t>
            </w:r>
          </w:p>
        </w:tc>
      </w:tr>
      <w:tr>
        <w:trPr>
          <w:cantSplit/>
        </w:trPr>
        <w:tc>
          <w:tcPr>
            <w:tcW w:type="dxa" w:w="2541"/>
            <w:vAlign w:val="center"/>
            <w:tcMar>
              <w:top w:w="90" w:type="dxa"/>
              <w:start w:w="90" w:type="dxa"/>
              <w:bottom w:w="90" w:type="dxa"/>
              <w:end w:w="90" w:type="dxa"/>
            </w:tcMar>
            <w:shd w:fill="F3F5F7"/>
          </w:tcPr>
          <w:p>
            <w:pPr>
              <w:spacing w:after="0"/>
            </w:pPr>
            <w:r/>
            <w:r>
              <w:rPr>
                <w:rFonts w:ascii="Carlito" w:hAnsi="Carlito"/>
                <w:b/>
                <w:color w:val="40464D"/>
                <w:sz w:val="16"/>
              </w:rPr>
              <w:t>4</w:t>
            </w:r>
          </w:p>
        </w:tc>
        <w:tc>
          <w:tcPr>
            <w:tcW w:type="dxa" w:w="2541"/>
            <w:vAlign w:val="center"/>
            <w:tcMar>
              <w:top w:w="90" w:type="dxa"/>
              <w:start w:w="90" w:type="dxa"/>
              <w:bottom w:w="90" w:type="dxa"/>
              <w:end w:w="90" w:type="dxa"/>
            </w:tcMar>
            <w:shd w:fill="F3F5F7"/>
          </w:tcPr>
          <w:p>
            <w:pPr>
              <w:spacing w:after="0"/>
            </w:pPr>
            <w:r/>
            <w:r>
              <w:rPr>
                <w:rFonts w:ascii="Carlito" w:hAnsi="Carlito"/>
                <w:b w:val="0"/>
                <w:color w:val="40464D"/>
                <w:sz w:val="16"/>
              </w:rPr>
              <w:t>Q-01 Périmètre du pilote</w:t>
            </w:r>
          </w:p>
        </w:tc>
        <w:tc>
          <w:tcPr>
            <w:tcW w:type="dxa" w:w="2541"/>
            <w:vAlign w:val="center"/>
            <w:tcMar>
              <w:top w:w="90" w:type="dxa"/>
              <w:start w:w="90" w:type="dxa"/>
              <w:bottom w:w="90" w:type="dxa"/>
              <w:end w:w="90" w:type="dxa"/>
            </w:tcMar>
            <w:shd w:fill="F3F5F7"/>
          </w:tcPr>
          <w:p>
            <w:pPr>
              <w:spacing w:after="0"/>
            </w:pPr>
            <w:r/>
            <w:r>
              <w:rPr>
                <w:rFonts w:ascii="Carlito" w:hAnsi="Carlito"/>
                <w:b w:val="0"/>
                <w:color w:val="40464D"/>
                <w:sz w:val="16"/>
              </w:rPr>
              <w:t>La taille influence formation, soutien et valeur des apprentissages.</w:t>
            </w:r>
          </w:p>
        </w:tc>
        <w:tc>
          <w:tcPr>
            <w:tcW w:type="dxa" w:w="2541"/>
            <w:vAlign w:val="center"/>
            <w:tcMar>
              <w:top w:w="90" w:type="dxa"/>
              <w:start w:w="90" w:type="dxa"/>
              <w:bottom w:w="90" w:type="dxa"/>
              <w:end w:w="90" w:type="dxa"/>
            </w:tcMar>
            <w:shd w:fill="F3F5F7"/>
          </w:tcPr>
          <w:p>
            <w:pPr>
              <w:spacing w:after="0"/>
            </w:pPr>
            <w:r/>
            <w:r>
              <w:rPr>
                <w:rFonts w:ascii="Carlito" w:hAnsi="Carlito"/>
                <w:b w:val="0"/>
                <w:color w:val="40464D"/>
                <w:sz w:val="16"/>
              </w:rPr>
              <w:t>Confirmer taille et critères de sélection.</w:t>
            </w:r>
          </w:p>
        </w:tc>
      </w:tr>
      <w:tr>
        <w:trPr>
          <w:cantSplit/>
        </w:trPr>
        <w:tc>
          <w:tcPr>
            <w:tcW w:type="dxa" w:w="2541"/>
            <w:vAlign w:val="center"/>
            <w:tcMar>
              <w:top w:w="90" w:type="dxa"/>
              <w:start w:w="90" w:type="dxa"/>
              <w:bottom w:w="90" w:type="dxa"/>
              <w:end w:w="90" w:type="dxa"/>
            </w:tcMar>
          </w:tcPr>
          <w:p>
            <w:pPr>
              <w:spacing w:after="0"/>
            </w:pPr>
            <w:r/>
            <w:r>
              <w:rPr>
                <w:rFonts w:ascii="Carlito" w:hAnsi="Carlito"/>
                <w:b/>
                <w:color w:val="40464D"/>
                <w:sz w:val="16"/>
              </w:rPr>
              <w:t>5</w:t>
            </w:r>
          </w:p>
        </w:tc>
        <w:tc>
          <w:tcPr>
            <w:tcW w:type="dxa" w:w="2541"/>
            <w:vAlign w:val="center"/>
            <w:tcMar>
              <w:top w:w="90" w:type="dxa"/>
              <w:start w:w="90" w:type="dxa"/>
              <w:bottom w:w="90" w:type="dxa"/>
              <w:end w:w="90" w:type="dxa"/>
            </w:tcMar>
          </w:tcPr>
          <w:p>
            <w:pPr>
              <w:spacing w:after="0"/>
            </w:pPr>
            <w:r/>
            <w:r>
              <w:rPr>
                <w:rFonts w:ascii="Carlito" w:hAnsi="Carlito"/>
                <w:b w:val="0"/>
                <w:color w:val="40464D"/>
                <w:sz w:val="16"/>
              </w:rPr>
              <w:t>Q-04 Acquisition</w:t>
            </w:r>
          </w:p>
        </w:tc>
        <w:tc>
          <w:tcPr>
            <w:tcW w:type="dxa" w:w="2541"/>
            <w:vAlign w:val="center"/>
            <w:tcMar>
              <w:top w:w="90" w:type="dxa"/>
              <w:start w:w="90" w:type="dxa"/>
              <w:bottom w:w="90" w:type="dxa"/>
              <w:end w:w="90" w:type="dxa"/>
            </w:tcMar>
          </w:tcPr>
          <w:p>
            <w:pPr>
              <w:spacing w:after="0"/>
            </w:pPr>
            <w:r/>
            <w:r>
              <w:rPr>
                <w:rFonts w:ascii="Carlito" w:hAnsi="Carlito"/>
                <w:b w:val="0"/>
                <w:color w:val="40464D"/>
                <w:sz w:val="16"/>
              </w:rPr>
              <w:t>Le chemin critique des licences peut affecter le calendrier.</w:t>
            </w:r>
          </w:p>
        </w:tc>
        <w:tc>
          <w:tcPr>
            <w:tcW w:type="dxa" w:w="2541"/>
            <w:vAlign w:val="center"/>
            <w:tcMar>
              <w:top w:w="90" w:type="dxa"/>
              <w:start w:w="90" w:type="dxa"/>
              <w:bottom w:w="90" w:type="dxa"/>
              <w:end w:w="90" w:type="dxa"/>
            </w:tcMar>
          </w:tcPr>
          <w:p>
            <w:pPr>
              <w:spacing w:after="0"/>
            </w:pPr>
            <w:r/>
            <w:r>
              <w:rPr>
                <w:rFonts w:ascii="Carlito" w:hAnsi="Carlito"/>
                <w:b w:val="0"/>
                <w:color w:val="40464D"/>
                <w:sz w:val="16"/>
              </w:rPr>
              <w:t>Valider délai et date limite d’engagement.</w:t>
            </w:r>
          </w:p>
        </w:tc>
      </w:tr>
    </w:tbl>
    <w:p>
      <w:pPr>
        <w:pStyle w:val="Heading1"/>
        <w:keepNext/>
      </w:pPr>
      <w:r>
        <w:t>6. Questions à préserver dans le contexte Copilot</w:t>
      </w:r>
    </w:p>
    <w:p>
      <w:pPr>
        <w:spacing w:after="140" w:line="252" w:lineRule="auto"/>
      </w:pPr>
      <w:r>
        <w:t>Ce registre peut être utilisé comme référence dans un bloc-notes Copilot consacré à la préparation du comité. Son intérêt est précisément de rendre visibles les incertitudes : Copilot doit pouvoir répondre qu’une information reste à valider lorsqu’aucune référence ne permet de la confirmer.</w:t>
      </w:r>
    </w:p>
    <w:tbl>
      <w:tblPr>
        <w:tblW w:type="auto" w:w="0"/>
        <w:jc w:val="center"/>
        <w:tblLayout w:type="autofit"/>
        <w:tblLook w:firstColumn="1" w:firstRow="1" w:lastColumn="0" w:lastRow="0" w:noHBand="0" w:noVBand="1" w:val="04A0"/>
      </w:tblPr>
      <w:tblGrid>
        <w:gridCol w:w="10166"/>
      </w:tblGrid>
      <w:tr>
        <w:tc>
          <w:tcPr>
            <w:tcW w:type="dxa" w:w="10166"/>
            <w:shd w:fill="EAF6F6"/>
            <w:tcMar>
              <w:top w:w="120" w:type="dxa"/>
              <w:start w:w="160" w:type="dxa"/>
              <w:bottom w:w="120" w:type="dxa"/>
              <w:end w:w="160" w:type="dxa"/>
            </w:tcMar>
          </w:tcPr>
          <w:p>
            <w:pPr>
              <w:spacing w:after="60"/>
            </w:pPr>
            <w:r/>
            <w:r>
              <w:rPr>
                <w:rFonts w:ascii="Carlito" w:hAnsi="Carlito"/>
                <w:b/>
                <w:color w:val="2E8B8B"/>
                <w:sz w:val="20"/>
              </w:rPr>
              <w:t>Règle d’interprétation pour les démonstrations</w:t>
            </w:r>
          </w:p>
          <w:p>
            <w:pPr>
              <w:spacing w:after="0"/>
            </w:pPr>
            <w:r>
              <w:rPr>
                <w:rFonts w:ascii="Carlito" w:hAnsi="Carlito"/>
                <w:color w:val="40464D"/>
                <w:sz w:val="20"/>
              </w:rPr>
              <w:t>Ne jamais considérer la présence d’une réponse plausible comme la fermeture d’une question. La bonne utilisation du registre consiste à relier chaque affirmation à une source, à distinguer proposition et décision, et à conserver explicitement la mention « à valider » lorsque le corpus ne permet pas de trancher.</w:t>
            </w:r>
          </w:p>
        </w:tc>
      </w:tr>
    </w:tbl>
    <w:p>
      <w:pPr>
        <w:spacing w:after="20" w:line="252" w:lineRule="auto"/>
      </w:pPr>
    </w:p>
    <w:p>
      <w:pPr>
        <w:pStyle w:val="Heading1"/>
        <w:keepNext/>
      </w:pPr>
      <w:r>
        <w:t>7. Historique des mises à jour</w:t>
      </w:r>
    </w:p>
    <w:tbl>
      <w:tblPr>
        <w:tblW w:type="auto" w:w="0"/>
        <w:jc w:val="center"/>
        <w:tblLook w:firstColumn="1" w:firstRow="1" w:lastColumn="0" w:lastRow="0" w:noHBand="0" w:noVBand="1" w:val="04A0"/>
        <w:tblBorders>
          <w:top w:val="single" w:sz="3" w:color="D9DEE5"/>
          <w:left w:val="single" w:sz="3" w:color="D9DEE5"/>
          <w:bottom w:val="single" w:sz="3" w:color="D9DEE5"/>
          <w:right w:val="single" w:sz="3" w:color="D9DEE5"/>
          <w:insideH w:val="single" w:sz="3" w:color="D9DEE5"/>
          <w:insideV w:val="single" w:sz="3" w:color="D9DEE5"/>
        </w:tblBorders>
      </w:tblPr>
      <w:tblGrid>
        <w:gridCol w:w="2541"/>
        <w:gridCol w:w="2541"/>
        <w:gridCol w:w="2541"/>
        <w:gridCol w:w="2541"/>
      </w:tblGrid>
      <w:tr>
        <w:trPr>
          <w:tblHeader w:val="true"/>
        </w:trPr>
        <w:tc>
          <w:tcPr>
            <w:tcW w:type="dxa" w:w="2541"/>
            <w:vAlign w:val="center"/>
            <w:tcMar>
              <w:top w:w="90" w:type="dxa"/>
              <w:start w:w="90" w:type="dxa"/>
              <w:bottom w:w="90" w:type="dxa"/>
              <w:end w:w="90" w:type="dxa"/>
            </w:tcMar>
            <w:shd w:fill="17365D"/>
          </w:tcPr>
          <w:p>
            <w:pPr>
              <w:spacing w:after="0"/>
            </w:pPr>
            <w:r/>
            <w:r>
              <w:rPr>
                <w:rFonts w:ascii="Carlito" w:hAnsi="Carlito"/>
                <w:b/>
                <w:color w:val="FFFFFF"/>
                <w:sz w:val="17"/>
              </w:rPr>
              <w:t>Version</w:t>
            </w:r>
          </w:p>
        </w:tc>
        <w:tc>
          <w:tcPr>
            <w:tcW w:type="dxa" w:w="2541"/>
            <w:vAlign w:val="center"/>
            <w:tcMar>
              <w:top w:w="90" w:type="dxa"/>
              <w:start w:w="90" w:type="dxa"/>
              <w:bottom w:w="90" w:type="dxa"/>
              <w:end w:w="90" w:type="dxa"/>
            </w:tcMar>
            <w:shd w:fill="17365D"/>
          </w:tcPr>
          <w:p>
            <w:pPr>
              <w:spacing w:after="0"/>
            </w:pPr>
            <w:r/>
            <w:r>
              <w:rPr>
                <w:rFonts w:ascii="Carlito" w:hAnsi="Carlito"/>
                <w:b/>
                <w:color w:val="FFFFFF"/>
                <w:sz w:val="17"/>
              </w:rPr>
              <w:t>Date</w:t>
            </w:r>
          </w:p>
        </w:tc>
        <w:tc>
          <w:tcPr>
            <w:tcW w:type="dxa" w:w="2541"/>
            <w:vAlign w:val="center"/>
            <w:tcMar>
              <w:top w:w="90" w:type="dxa"/>
              <w:start w:w="90" w:type="dxa"/>
              <w:bottom w:w="90" w:type="dxa"/>
              <w:end w:w="90" w:type="dxa"/>
            </w:tcMar>
            <w:shd w:fill="17365D"/>
          </w:tcPr>
          <w:p>
            <w:pPr>
              <w:spacing w:after="0"/>
            </w:pPr>
            <w:r/>
            <w:r>
              <w:rPr>
                <w:rFonts w:ascii="Carlito" w:hAnsi="Carlito"/>
                <w:b/>
                <w:color w:val="FFFFFF"/>
                <w:sz w:val="17"/>
              </w:rPr>
              <w:t>Évolution</w:t>
            </w:r>
          </w:p>
        </w:tc>
        <w:tc>
          <w:tcPr>
            <w:tcW w:type="dxa" w:w="2541"/>
            <w:vAlign w:val="center"/>
            <w:tcMar>
              <w:top w:w="90" w:type="dxa"/>
              <w:start w:w="90" w:type="dxa"/>
              <w:bottom w:w="90" w:type="dxa"/>
              <w:end w:w="90" w:type="dxa"/>
            </w:tcMar>
            <w:shd w:fill="17365D"/>
          </w:tcPr>
          <w:p>
            <w:pPr>
              <w:spacing w:after="0"/>
            </w:pPr>
            <w:r/>
            <w:r>
              <w:rPr>
                <w:rFonts w:ascii="Carlito" w:hAnsi="Carlito"/>
                <w:b/>
                <w:color w:val="FFFFFF"/>
                <w:sz w:val="17"/>
              </w:rPr>
              <w:t>Auteur / fonction</w:t>
            </w:r>
          </w:p>
        </w:tc>
      </w:tr>
      <w:tr>
        <w:tc>
          <w:tcPr>
            <w:tcW w:type="dxa" w:w="2541"/>
            <w:vAlign w:val="center"/>
            <w:tcMar>
              <w:top w:w="90" w:type="dxa"/>
              <w:start w:w="90" w:type="dxa"/>
              <w:bottom w:w="90" w:type="dxa"/>
              <w:end w:w="90" w:type="dxa"/>
            </w:tcMar>
          </w:tcPr>
          <w:p>
            <w:pPr>
              <w:spacing w:after="0"/>
            </w:pPr>
            <w:r/>
            <w:r>
              <w:rPr>
                <w:rFonts w:ascii="Carlito" w:hAnsi="Carlito"/>
                <w:b w:val="0"/>
                <w:color w:val="40464D"/>
                <w:sz w:val="16"/>
              </w:rPr>
              <w:t>0.4</w:t>
            </w:r>
          </w:p>
        </w:tc>
        <w:tc>
          <w:tcPr>
            <w:tcW w:type="dxa" w:w="2541"/>
            <w:vAlign w:val="center"/>
            <w:tcMar>
              <w:top w:w="90" w:type="dxa"/>
              <w:start w:w="90" w:type="dxa"/>
              <w:bottom w:w="90" w:type="dxa"/>
              <w:end w:w="90" w:type="dxa"/>
            </w:tcMar>
          </w:tcPr>
          <w:p>
            <w:pPr>
              <w:spacing w:after="0"/>
            </w:pPr>
            <w:r/>
            <w:r>
              <w:rPr>
                <w:rFonts w:ascii="Carlito" w:hAnsi="Carlito"/>
                <w:b w:val="0"/>
                <w:color w:val="40464D"/>
                <w:sz w:val="16"/>
              </w:rPr>
              <w:t>29 juillet 2026</w:t>
            </w:r>
          </w:p>
        </w:tc>
        <w:tc>
          <w:tcPr>
            <w:tcW w:type="dxa" w:w="2541"/>
            <w:vAlign w:val="center"/>
            <w:tcMar>
              <w:top w:w="90" w:type="dxa"/>
              <w:start w:w="90" w:type="dxa"/>
              <w:bottom w:w="90" w:type="dxa"/>
              <w:end w:w="90" w:type="dxa"/>
            </w:tcMar>
          </w:tcPr>
          <w:p>
            <w:pPr>
              <w:spacing w:after="0"/>
            </w:pPr>
            <w:r/>
            <w:r>
              <w:rPr>
                <w:rFonts w:ascii="Carlito" w:hAnsi="Carlito"/>
                <w:b w:val="0"/>
                <w:color w:val="40464D"/>
                <w:sz w:val="16"/>
              </w:rPr>
              <w:t>Création du registre à partir des paramètres de la charte.</w:t>
            </w:r>
          </w:p>
        </w:tc>
        <w:tc>
          <w:tcPr>
            <w:tcW w:type="dxa" w:w="2541"/>
            <w:vAlign w:val="center"/>
            <w:tcMar>
              <w:top w:w="90" w:type="dxa"/>
              <w:start w:w="90" w:type="dxa"/>
              <w:bottom w:w="90" w:type="dxa"/>
              <w:end w:w="90" w:type="dxa"/>
            </w:tcMar>
          </w:tcPr>
          <w:p>
            <w:pPr>
              <w:spacing w:after="0"/>
            </w:pPr>
            <w:r/>
            <w:r>
              <w:rPr>
                <w:rFonts w:ascii="Carlito" w:hAnsi="Carlito"/>
                <w:b w:val="0"/>
                <w:color w:val="40464D"/>
                <w:sz w:val="16"/>
              </w:rPr>
              <w:t>Bureau du programme Atlas</w:t>
            </w:r>
          </w:p>
        </w:tc>
      </w:tr>
      <w:tr>
        <w:tc>
          <w:tcPr>
            <w:tcW w:type="dxa" w:w="2541"/>
            <w:vAlign w:val="center"/>
            <w:tcMar>
              <w:top w:w="90" w:type="dxa"/>
              <w:start w:w="90" w:type="dxa"/>
              <w:bottom w:w="90" w:type="dxa"/>
              <w:end w:w="90" w:type="dxa"/>
            </w:tcMar>
            <w:shd w:fill="F3F5F7"/>
          </w:tcPr>
          <w:p>
            <w:pPr>
              <w:spacing w:after="0"/>
            </w:pPr>
            <w:r/>
            <w:r>
              <w:rPr>
                <w:rFonts w:ascii="Carlito" w:hAnsi="Carlito"/>
                <w:b w:val="0"/>
                <w:color w:val="40464D"/>
                <w:sz w:val="16"/>
              </w:rPr>
              <w:t>0.5</w:t>
            </w:r>
          </w:p>
        </w:tc>
        <w:tc>
          <w:tcPr>
            <w:tcW w:type="dxa" w:w="2541"/>
            <w:vAlign w:val="center"/>
            <w:tcMar>
              <w:top w:w="90" w:type="dxa"/>
              <w:start w:w="90" w:type="dxa"/>
              <w:bottom w:w="90" w:type="dxa"/>
              <w:end w:w="90" w:type="dxa"/>
            </w:tcMar>
            <w:shd w:fill="F3F5F7"/>
          </w:tcPr>
          <w:p>
            <w:pPr>
              <w:spacing w:after="0"/>
            </w:pPr>
            <w:r/>
            <w:r>
              <w:rPr>
                <w:rFonts w:ascii="Carlito" w:hAnsi="Carlito"/>
                <w:b w:val="0"/>
                <w:color w:val="40464D"/>
                <w:sz w:val="16"/>
              </w:rPr>
              <w:t>7 août 2026</w:t>
            </w:r>
          </w:p>
        </w:tc>
        <w:tc>
          <w:tcPr>
            <w:tcW w:type="dxa" w:w="2541"/>
            <w:vAlign w:val="center"/>
            <w:tcMar>
              <w:top w:w="90" w:type="dxa"/>
              <w:start w:w="90" w:type="dxa"/>
              <w:bottom w:w="90" w:type="dxa"/>
              <w:end w:w="90" w:type="dxa"/>
            </w:tcMar>
            <w:shd w:fill="F3F5F7"/>
          </w:tcPr>
          <w:p>
            <w:pPr>
              <w:spacing w:after="0"/>
            </w:pPr>
            <w:r/>
            <w:r>
              <w:rPr>
                <w:rFonts w:ascii="Carlito" w:hAnsi="Carlito"/>
                <w:b w:val="0"/>
                <w:color w:val="40464D"/>
                <w:sz w:val="16"/>
              </w:rPr>
              <w:t>Ajout des questions sur données, validation humaine et acquisition.</w:t>
            </w:r>
          </w:p>
        </w:tc>
        <w:tc>
          <w:tcPr>
            <w:tcW w:type="dxa" w:w="2541"/>
            <w:vAlign w:val="center"/>
            <w:tcMar>
              <w:top w:w="90" w:type="dxa"/>
              <w:start w:w="90" w:type="dxa"/>
              <w:bottom w:w="90" w:type="dxa"/>
              <w:end w:w="90" w:type="dxa"/>
            </w:tcMar>
            <w:shd w:fill="F3F5F7"/>
          </w:tcPr>
          <w:p>
            <w:pPr>
              <w:spacing w:after="0"/>
            </w:pPr>
            <w:r/>
            <w:r>
              <w:rPr>
                <w:rFonts w:ascii="Carlito" w:hAnsi="Carlito"/>
                <w:b w:val="0"/>
                <w:color w:val="40464D"/>
                <w:sz w:val="16"/>
              </w:rPr>
              <w:t>Bureau du programme Atlas</w:t>
            </w:r>
          </w:p>
        </w:tc>
      </w:tr>
      <w:tr>
        <w:tc>
          <w:tcPr>
            <w:tcW w:type="dxa" w:w="2541"/>
            <w:vAlign w:val="center"/>
            <w:tcMar>
              <w:top w:w="90" w:type="dxa"/>
              <w:start w:w="90" w:type="dxa"/>
              <w:bottom w:w="90" w:type="dxa"/>
              <w:end w:w="90" w:type="dxa"/>
            </w:tcMar>
          </w:tcPr>
          <w:p>
            <w:pPr>
              <w:spacing w:after="0"/>
            </w:pPr>
            <w:r/>
            <w:r>
              <w:rPr>
                <w:rFonts w:ascii="Carlito" w:hAnsi="Carlito"/>
                <w:b w:val="0"/>
                <w:color w:val="40464D"/>
                <w:sz w:val="16"/>
              </w:rPr>
              <w:t>0.6</w:t>
            </w:r>
          </w:p>
        </w:tc>
        <w:tc>
          <w:tcPr>
            <w:tcW w:type="dxa" w:w="2541"/>
            <w:vAlign w:val="center"/>
            <w:tcMar>
              <w:top w:w="90" w:type="dxa"/>
              <w:start w:w="90" w:type="dxa"/>
              <w:bottom w:w="90" w:type="dxa"/>
              <w:end w:w="90" w:type="dxa"/>
            </w:tcMar>
          </w:tcPr>
          <w:p>
            <w:pPr>
              <w:spacing w:after="0"/>
            </w:pPr>
            <w:r/>
            <w:r>
              <w:rPr>
                <w:rFonts w:ascii="Carlito" w:hAnsi="Carlito"/>
                <w:b w:val="0"/>
                <w:color w:val="40464D"/>
                <w:sz w:val="16"/>
              </w:rPr>
              <w:t>14 août 2026</w:t>
            </w:r>
          </w:p>
        </w:tc>
        <w:tc>
          <w:tcPr>
            <w:tcW w:type="dxa" w:w="2541"/>
            <w:vAlign w:val="center"/>
            <w:tcMar>
              <w:top w:w="90" w:type="dxa"/>
              <w:start w:w="90" w:type="dxa"/>
              <w:bottom w:w="90" w:type="dxa"/>
              <w:end w:w="90" w:type="dxa"/>
            </w:tcMar>
          </w:tcPr>
          <w:p>
            <w:pPr>
              <w:spacing w:after="0"/>
            </w:pPr>
            <w:r/>
            <w:r>
              <w:rPr>
                <w:rFonts w:ascii="Carlito" w:hAnsi="Carlito"/>
                <w:b w:val="0"/>
                <w:color w:val="40464D"/>
                <w:sz w:val="16"/>
              </w:rPr>
              <w:t>Ajout de la propriété du bloc-notes, de la mesure d’adoption et des priorités comité.</w:t>
            </w:r>
          </w:p>
        </w:tc>
        <w:tc>
          <w:tcPr>
            <w:tcW w:type="dxa" w:w="2541"/>
            <w:vAlign w:val="center"/>
            <w:tcMar>
              <w:top w:w="90" w:type="dxa"/>
              <w:start w:w="90" w:type="dxa"/>
              <w:bottom w:w="90" w:type="dxa"/>
              <w:end w:w="90" w:type="dxa"/>
            </w:tcMar>
          </w:tcPr>
          <w:p>
            <w:pPr>
              <w:spacing w:after="0"/>
            </w:pPr>
            <w:r/>
            <w:r>
              <w:rPr>
                <w:rFonts w:ascii="Carlito" w:hAnsi="Carlito"/>
                <w:b w:val="0"/>
                <w:color w:val="40464D"/>
                <w:sz w:val="16"/>
              </w:rPr>
              <w:t>Bureau du programme Atlas</w:t>
            </w:r>
          </w:p>
        </w:tc>
      </w:tr>
    </w:tbl>
    <w:p>
      <w:pPr>
        <w:spacing w:line="252" w:lineRule="auto" w:after="120"/>
      </w:pPr>
    </w:p>
    <w:tbl>
      <w:tblPr>
        <w:tblW w:type="auto" w:w="0"/>
        <w:jc w:val="center"/>
        <w:tblLayout w:type="autofit"/>
        <w:tblLook w:firstColumn="1" w:firstRow="1" w:lastColumn="0" w:lastRow="0" w:noHBand="0" w:noVBand="1" w:val="04A0"/>
      </w:tblPr>
      <w:tblGrid>
        <w:gridCol w:w="10166"/>
      </w:tblGrid>
      <w:tr>
        <w:tc>
          <w:tcPr>
            <w:tcW w:type="dxa" w:w="10166"/>
            <w:shd w:fill="EAF2F8"/>
            <w:tcMar>
              <w:top w:w="120" w:type="dxa"/>
              <w:start w:w="160" w:type="dxa"/>
              <w:bottom w:w="120" w:type="dxa"/>
              <w:end w:w="160" w:type="dxa"/>
            </w:tcMar>
          </w:tcPr>
          <w:p>
            <w:pPr>
              <w:spacing w:after="60"/>
            </w:pPr>
            <w:r/>
            <w:r>
              <w:rPr>
                <w:rFonts w:ascii="Carlito" w:hAnsi="Carlito"/>
                <w:b/>
                <w:color w:val="2F75B5"/>
                <w:sz w:val="20"/>
              </w:rPr>
              <w:t>Statut du document</w:t>
            </w:r>
          </w:p>
          <w:p>
            <w:pPr>
              <w:spacing w:after="0"/>
            </w:pPr>
            <w:r>
              <w:rPr>
                <w:rFonts w:ascii="Carlito" w:hAnsi="Carlito"/>
                <w:color w:val="40464D"/>
                <w:sz w:val="20"/>
              </w:rPr>
              <w:t>Ce registre est un document de travail. Il identifie les questions à résoudre mais ne constitue pas, à lui seul, une décision du comité. Lorsqu’une question est fermée, la décision ou la source qui fait autorité doit être conservée dans l’emplacement de référence approprié.</w:t>
            </w:r>
          </w:p>
        </w:tc>
      </w:tr>
    </w:tbl>
    <w:p>
      <w:pPr>
        <w:spacing w:after="20" w:line="252" w:lineRule="auto"/>
      </w:pPr>
    </w:p>
    <w:sectPr w:rsidR="00FC693F" w:rsidRPr="0006063C" w:rsidSect="00034616">
      <w:headerReference w:type="default" r:id="rId9"/>
      <w:footerReference w:type="default" r:id="rId10"/>
      <w:pgSz w:w="12240" w:h="15840"/>
      <w:pgMar w:top="936" w:right="1037" w:bottom="936" w:left="1037"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3240"/>
      <w:gridCol w:w="3672"/>
      <w:gridCol w:w="3240"/>
    </w:tblGrid>
    <w:tr>
      <w:tc>
        <w:tcPr>
          <w:tcW w:type="dxa" w:w="3384"/>
          <w:tcBorders>
            <w:top w:sz="4" w:val="single" w:color="D9DEE5"/>
          </w:tcBorders>
          <w:tcMar>
            <w:top w:w="70" w:type="dxa"/>
            <w:start w:w="20" w:type="dxa"/>
            <w:bottom w:w="0" w:type="dxa"/>
            <w:end w:w="20" w:type="dxa"/>
          </w:tcMar>
        </w:tcPr>
        <w:p>
          <w:pPr>
            <w:jc w:val="left"/>
          </w:pPr>
          <w:r/>
          <w:r>
            <w:rPr>
              <w:rFonts w:ascii="Carlito" w:hAnsi="Carlito"/>
              <w:color w:val="40464D"/>
              <w:sz w:val="15"/>
            </w:rPr>
            <w:t>INTERNE — PROJET ATLAS</w:t>
          </w:r>
        </w:p>
      </w:tc>
      <w:tc>
        <w:tcPr>
          <w:tcW w:type="dxa" w:w="3384"/>
          <w:tcBorders>
            <w:top w:sz="4" w:val="single" w:color="D9DEE5"/>
          </w:tcBorders>
          <w:tcMar>
            <w:top w:w="70" w:type="dxa"/>
            <w:start w:w="20" w:type="dxa"/>
            <w:bottom w:w="0" w:type="dxa"/>
            <w:end w:w="20" w:type="dxa"/>
          </w:tcMar>
        </w:tcPr>
        <w:p>
          <w:pPr>
            <w:jc w:val="center"/>
          </w:pPr>
          <w:r/>
          <w:r>
            <w:rPr>
              <w:rFonts w:ascii="Carlito" w:hAnsi="Carlito"/>
              <w:color w:val="40464D"/>
              <w:sz w:val="15"/>
            </w:rPr>
            <w:t>Questions ouvertes — v0.6</w:t>
          </w:r>
        </w:p>
      </w:tc>
      <w:tc>
        <w:tcPr>
          <w:tcW w:type="dxa" w:w="3384"/>
          <w:tcBorders>
            <w:top w:sz="4" w:val="single" w:color="D9DEE5"/>
          </w:tcBorders>
          <w:tcMar>
            <w:top w:w="70" w:type="dxa"/>
            <w:start w:w="20" w:type="dxa"/>
            <w:bottom w:w="0" w:type="dxa"/>
            <w:end w:w="20" w:type="dxa"/>
          </w:tcMar>
        </w:tcPr>
        <w:p>
          <w:pPr>
            <w:jc w:val="right"/>
          </w:pPr>
          <w:r/>
          <w:r>
            <w:rPr>
              <w:rFonts w:ascii="Carlito" w:hAnsi="Carlito"/>
              <w:color w:val="40464D"/>
              <w:sz w:val="15"/>
            </w:rPr>
            <w:t>Contoso | 14 août 2026</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5" w:space="1" w:color="D9EAF7"/>
      </w:pBdr>
    </w:pPr>
    <w:r>
      <w:rPr>
        <w:rFonts w:ascii="Carlito" w:hAnsi="Carlito" w:eastAsia="Carlito"/>
        <w:b/>
        <w:color w:val="2F75B5"/>
        <w:sz w:val="17"/>
      </w:rPr>
      <w:t>CONTOSO  |  TRANSFORMATION NUMÉRIQUE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Carlito" w:hAnsi="Carlit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rlito" w:hAnsi="Carlito"/>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Carlito" w:hAnsi="Carlito"/>
      <w:b/>
      <w:bCs/>
      <w:color w:val="2F75B5"/>
      <w:sz w:val="26"/>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Carlito" w:hAnsi="Carlito"/>
      <w:b/>
      <w:bCs/>
      <w:color w:val="2E8B8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60"/>
      <w:contextualSpacing/>
    </w:pPr>
    <w:rPr>
      <w:rFonts w:asciiTheme="majorHAnsi" w:eastAsiaTheme="majorEastAsia" w:hAnsiTheme="majorHAnsi" w:cstheme="majorBidi" w:ascii="Carlito" w:hAnsi="Carlito"/>
      <w:b/>
      <w:color w:val="17365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rlito" w:hAnsi="Carlito"/>
      <w:sz w:val="20"/>
    </w:rPr>
  </w:style>
  <w:style w:type="paragraph" w:styleId="ListBullet2">
    <w:name w:val="List Bullet 2"/>
    <w:basedOn w:val="Normal"/>
    <w:uiPriority w:val="99"/>
    <w:unhideWhenUsed/>
    <w:rsid w:val="00326F90"/>
    <w:pPr>
      <w:numPr>
        <w:numId w:val="2"/>
      </w:numPr>
      <w:contextualSpacing/>
    </w:pPr>
    <w:rPr>
      <w:rFonts w:ascii="Carlito" w:hAnsi="Carlito"/>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rlito" w:hAnsi="Carlito"/>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tlasCallout">
    <w:name w:val="Atlas Callout"/>
    <w:pPr>
      <w:spacing w:after="80"/>
    </w:pPr>
    <w:rPr>
      <w:rFonts w:ascii="Carlito" w:hAnsi="Carlito"/>
      <w:color w:val="40464D"/>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5EF1B8CB22ED54F8F3877390894ADCD" ma:contentTypeVersion="3" ma:contentTypeDescription="Crée un document." ma:contentTypeScope="" ma:versionID="a6313ad3a55da95701a281e814e6498d">
  <xsd:schema xmlns:xsd="http://www.w3.org/2001/XMLSchema" xmlns:xs="http://www.w3.org/2001/XMLSchema" xmlns:p="http://schemas.microsoft.com/office/2006/metadata/properties" xmlns:ns2="85c993be-8302-4845-9fd2-0160275f23db" targetNamespace="http://schemas.microsoft.com/office/2006/metadata/properties" ma:root="true" ma:fieldsID="e6de75cc436c711268bcc60a3f85fc21" ns2:_="">
    <xsd:import namespace="85c993be-8302-4845-9fd2-0160275f23d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c993be-8302-4845-9fd2-0160275f2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B793BE1-6798-4E42-8E3F-DDFC66302646}"/>
</file>

<file path=customXml/itemProps3.xml><?xml version="1.0" encoding="utf-8"?>
<ds:datastoreItem xmlns:ds="http://schemas.openxmlformats.org/officeDocument/2006/customXml" ds:itemID="{A7BCFCA0-8D87-4FB5-A968-7122134097C9}"/>
</file>

<file path=customXml/itemProps4.xml><?xml version="1.0" encoding="utf-8"?>
<ds:datastoreItem xmlns:ds="http://schemas.openxmlformats.org/officeDocument/2006/customXml" ds:itemID="{CA989853-B5C7-4A1F-B65F-1B37B58DF312}"/>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ouvertes — Projet Atlas</dc:title>
  <dc:subject>Registre de questions ouvertes et décisions à préparer — Projet Atlas</dc:subject>
  <dc:creator>Contoso — Bureau du programme Atlas</dc:creator>
  <cp:keywords>Projet Atlas, questions ouvertes, décisions, Microsoft 365 Copilot, gouvernance</cp:keywords>
  <dc:description>Document de travail du scénario de formation Projet Atlas.</dc:description>
  <cp:lastModifiedBy/>
  <cp:revision>1</cp:revision>
  <dcterms:created xsi:type="dcterms:W3CDTF">2013-12-23T23:15:00Z</dcterms:created>
  <dcterms:modified xsi:type="dcterms:W3CDTF">2013-12-23T23:15:00Z</dcterms:modified>
  <cp:category>Document de projet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0x01010075EF1B8CB22ED54F8F3877390894ADCD</vt:lpwstr>
  </property>
  <property fmtid="{D5CDD505-2E9C-101B-9397-08002B2CF9AE}" pid="4" name="docLang">
    <vt:lpwstr>fr</vt:lpwstr>
  </property>
</Properties>
</file>